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№737 от 4 октября 2002 г.</w:t>
      </w:r>
    </w:p>
    <w:p>
      <w:pPr>
        <w:pStyle w:val="Heading2"/>
        <w:rPr/>
      </w:pPr>
      <w:r>
        <w:rPr/>
        <w:t>«О конкурсах среди страховщиков для осуществления страхования за счет средств соответствующего бюджета (в ред. Постановления Правительства РФ от 01.02.2005 N 49) »</w:t>
      </w:r>
    </w:p>
    <w:p>
      <w:pPr>
        <w:pStyle w:val="TextBody"/>
        <w:rPr/>
      </w:pPr>
      <w:r>
        <w:rPr/>
        <w:t>В целях реализации статей 13 и 14 Федерального закона "О защите конкуренции на рынке финансовых услуг" и организации деятельности Федеральной антимонопольной службы Правительство Российской Федерации постановляет:</w:t>
      </w:r>
    </w:p>
    <w:p>
      <w:pPr>
        <w:pStyle w:val="TextBody"/>
        <w:rPr/>
      </w:pPr>
      <w:r>
        <w:rPr/>
        <w:t>(в ред. Постановления Правительства РФ от 01.02.2005 N 49)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Установить, что порядок проведения открытого конкурса по отбору страховщиков для осуществления страхования за счет средств соответствующего бюджета подлежит согласованию с соблюдением основных требований согласно приложению:</w:t>
        <w:br/>
        <w:br/>
        <w:t>с Федеральной антимонопольной службой - если уплата страховых взносов (страховой премии) и / или страховая выплата осуществляются за счет средств федерального бюджета;</w:t>
        <w:br/>
        <w:br/>
        <w:t>(в ред. Постановления Правительства РФ от 01.02.2005 N 49)</w:t>
        <w:br/>
        <w:br/>
        <w:t>с территориальным органом Федеральной антимонопольной службы - если уплата страховых взносов (страховой премии) и / или страховая выплата осуществляются за счет средств бюджета субъекта Российской Федерации или бюджета муниципального образования.</w:t>
        <w:br/>
        <w:br/>
        <w:t>(в ред. Постановления Правительства РФ от 01.02.2005 N 49)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Федеральным органам исполнительной власти проводить открытые конкурсы по отбору страховщиков для осуществления страхования с использованием средств федерального бюджета не реже одного раза в три года.</w:t>
        <w:br/>
        <w:br/>
        <w:t>Федеральным органам исполнительной власти, деятельность которых связана с необходимостью соблюдения конфиденциальности информации о сотрудниках, проводить открытые конкурсы по отбору страховщиков для осуществления обязательного государственного личного страхования сотрудников не реже одного раза в пять лет.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Федеральным органам исполнительной власти провести открытые конкурсы среди страховщиков для осуществления страхования за счет средств федерального бюджета до 1 января 2004 г.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br/>
        <w:t>Приложение</w:t>
        <w:br/>
        <w:t>к Постановлению Правительства</w:t>
        <w:br/>
        <w:t>Российской Федерации</w:t>
        <w:br/>
        <w:t>от 4 октября 2002 г. N 737</w:t>
      </w:r>
    </w:p>
    <w:p>
      <w:pPr>
        <w:pStyle w:val="TextBody"/>
        <w:rPr/>
      </w:pPr>
      <w:r>
        <w:rPr>
          <w:rStyle w:val="StrongEmphasis"/>
        </w:rPr>
        <w:t>Основные требования к проведению открытых конкурсов по отбору страховщиков для осуществления страхования за счет средств соответствующего бюджета</w:t>
      </w:r>
    </w:p>
    <w:p>
      <w:pPr>
        <w:pStyle w:val="TextBody"/>
        <w:rPr/>
      </w:pPr>
      <w:r>
        <w:rPr/>
        <w:t>(в ред. Постановления Правительства РФ от 01.02.2005 N 49)</w:t>
      </w:r>
    </w:p>
    <w:p>
      <w:pPr>
        <w:pStyle w:val="TextBody"/>
        <w:rPr/>
      </w:pPr>
      <w:r>
        <w:rPr/>
        <w:t>1. При согласовании порядка проведения открытого конкурса по отбору страховщиков для осуществления страхования за счет средств соответствующего бюджета (далее именуется - конкурс) с Федеральной антимонопольной службой Служба и ее территориальные органы (далее именуются - антимонопольный орган) рассматривают следующие документы:</w:t>
      </w:r>
    </w:p>
    <w:p>
      <w:pPr>
        <w:pStyle w:val="TextBody"/>
        <w:rPr/>
      </w:pPr>
      <w:r>
        <w:rPr/>
        <w:t>(в ред. Постановления Правительства РФ от 01.02.2005 N 49)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правила организации и проведения конкурса (далее именуются - правила);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регламент конкурсной комиссии;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копия приказа об утверждении состава конкурсной комиссии. </w:t>
      </w:r>
    </w:p>
    <w:p>
      <w:pPr>
        <w:pStyle w:val="TextBody"/>
        <w:rPr/>
      </w:pPr>
      <w:r>
        <w:rPr/>
        <w:t>2. Правила должны содержать: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указание целей конкурса;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перечень нормативных правовых актов, являющихся основанием для проведения конкурса;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требования к страховщикам - участникам конкурса, определяемые организатором конкурса, которые предусматривают представление информации о финансовой устойчивости и платежеспособности страховщика, о наличии лицензий на осуществление страхования соответствующего вида, а также иные требования в соответствии с законодательством Российской Федерации;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порядок обеспечения участников конкурса бланками документов, представляемых в конкурсную комиссию, а также порядок ознакомления участников конкурса с правилами конкурса;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порядок утверждения итогов конкурса;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сроки и порядок опубликования информационного сообщения о проведении конкурса и о его итогах;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наименование средств массовой информации, в которых будет опубликовано информационное сообщение о проведении конкурса.</w:t>
      </w:r>
    </w:p>
    <w:p>
      <w:pPr>
        <w:pStyle w:val="TextBody"/>
        <w:rPr/>
      </w:pPr>
      <w:r>
        <w:rPr/>
        <w:t>3. Регламент конкурсной комиссии должен содержать следующие сведения: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порядок определения количественного и утверждения персонального состава конкурсной комиссии;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порядок вскрытия конвертов с конкурсными предложениями;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методика и критерии оценки конкурсных предложений и представленных документов;</w:t>
      </w:r>
    </w:p>
    <w:p>
      <w:pPr>
        <w:pStyle w:val="TextBody"/>
        <w:rPr/>
      </w:pPr>
      <w:r>
        <w:rPr>
          <w:rStyle w:val="StrongEmphasis"/>
        </w:rPr>
        <w:t xml:space="preserve">г) </w:t>
      </w:r>
      <w:r>
        <w:rPr/>
        <w:t>перечень оснований для отклонения конкурсных предложений;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порядок подведения итогов конкурса и оформления его результатов;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требования организаторов конкурса к конкурсному предложению и инструкция по его оформлению;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перечень документов, а также разработанные организатором конкурса формы бланков документов, представленных участниками конкурса в конкурсную комиссию;</w:t>
      </w:r>
    </w:p>
    <w:p>
      <w:pPr>
        <w:pStyle w:val="TextBody"/>
        <w:rPr/>
      </w:pPr>
      <w:r>
        <w:rPr>
          <w:rStyle w:val="StrongEmphasis"/>
        </w:rPr>
        <w:t>з)</w:t>
      </w:r>
      <w:r>
        <w:rPr/>
        <w:t xml:space="preserve"> даты начала и окончания приема документов для участия в конкурсе;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условия заключаемого контракта.</w:t>
      </w:r>
    </w:p>
    <w:p>
      <w:pPr>
        <w:pStyle w:val="TextBody"/>
        <w:rPr/>
      </w:pPr>
      <w:r>
        <w:rPr/>
        <w:t>4. Антимонопольный орган проверяет представленные документы на предмет отсутствия в них не соответствующих законодательству Российской Федерации требований: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ограничивающих доступ страховщиков к конкурсу;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направленных на координацию деятельности участников конкурса, которая имеет или может иметь своим результатом ограничение конкуренции между участниками конкурса или ущемление интересов отдельных его участников;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создающих одному или нескольким участникам преимущественные условия участия в конкурсе (доступ к конфиденциальной информации, уменьшение платы за участие в конкурсе и др.);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направленных на участие в конкурсе организатора конкурса и его сотрудников, а также страховщиков, являющихся аффилированными лицами по отношению к организатору конкурса и его сотрудникам. </w:t>
      </w:r>
    </w:p>
    <w:p>
      <w:pPr>
        <w:pStyle w:val="TextBody"/>
        <w:rPr/>
      </w:pPr>
      <w:r>
        <w:rPr/>
        <w:t>5. Правила, регламент конкурсной комиссии, а также заключение Министерства финансов Российской Федерации о соблюдении организатором конкурса требований законодательства Российской Федерации о страховании направляются организатором конкурса в соответствующий антимонопольный орган не менее чем за 30 рабочих дней до опубликования информационного сообщения о проведении конкурса.</w:t>
      </w:r>
    </w:p>
    <w:p>
      <w:pPr>
        <w:pStyle w:val="TextBody"/>
        <w:rPr/>
      </w:pPr>
      <w:r>
        <w:rPr/>
        <w:t>6. Антимонопольный орган в 20-дневный срок выражает свое согласие (несогласие) в отношении документов, регламентирующих проведение конкурса.</w:t>
      </w:r>
    </w:p>
    <w:p>
      <w:pPr>
        <w:pStyle w:val="TextBody"/>
        <w:spacing w:before="0" w:after="283"/>
        <w:rPr/>
      </w:pPr>
      <w:r>
        <w:rPr/>
        <w:t>7. При внесении организатором конкурса изменений и дополнений в согласованные с антимонопольным органом документы, регламентирующие проведение конкурса, эти изменения и дополнения подлежат согласованию с антимонопольным органом до опубликования информационного сообщения о проведении конкурса.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