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w:t>
      </w:r>
    </w:p>
    <w:p>
      <w:pPr>
        <w:pStyle w:val="Heading2"/>
        <w:rPr/>
      </w:pPr>
      <w:r>
        <w:rPr/>
        <w:t>«О вступлении в силу Федерального закона № 112-ФЗ от 18.07.2006 г.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 и статью 1 Федерального закона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w:t>
      </w:r>
    </w:p>
    <w:p>
      <w:pPr>
        <w:pStyle w:val="TextBody"/>
        <w:rPr/>
      </w:pPr>
      <w:r>
        <w:rPr/>
        <w:t>20 июля т.г. (со дня официального опубликования в «Российской газете») вступил в силу Федеральный закон от 18.07.2006 г. № 112-ФЗ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 и статью 1 Федерального закона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w:t>
      </w:r>
    </w:p>
    <w:p>
      <w:pPr>
        <w:pStyle w:val="TextBody"/>
        <w:rPr/>
      </w:pPr>
      <w:r>
        <w:rPr/>
        <w:t>Данный закон был разработан в целях приведения отдельных законодательных актов Российской Федерации в соответствие с новыми пенсионными Законами, направленными на реализацию пенсионной реформы и вступившими в силу с 01.01.2002 г., – Федеральным законом от 15.12.2001 г. № 166-ФЗ «О государственном пенсионном обеспечении в Российской Федерации» и Федеральным законом от 17.12.2001 г. № 173-ФЗ «О трудовых пенсиях в Российской Федерации».</w:t>
      </w:r>
    </w:p>
    <w:p>
      <w:pPr>
        <w:pStyle w:val="TextBody"/>
        <w:rPr/>
      </w:pPr>
      <w:r>
        <w:rPr/>
        <w:t>Закон  вносит соответствующие изменения в два законодательных акта:</w:t>
      </w:r>
    </w:p>
    <w:p>
      <w:pPr>
        <w:pStyle w:val="TextBody"/>
        <w:rPr/>
      </w:pPr>
      <w:r>
        <w:rPr/>
        <w:t>Закон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pPr>
        <w:pStyle w:val="TextBody"/>
        <w:rPr/>
      </w:pPr>
      <w:r>
        <w:rPr/>
        <w:t>Федеральный закон от 31 июля 1998 г. № 137-ФЗ «О материальном обеспечении членов семьи умершего члена Совета Федерации или депутата Государственной Думы Федерального Собрания Российской Федерации».</w:t>
      </w:r>
    </w:p>
    <w:p>
      <w:pPr>
        <w:pStyle w:val="TextBody"/>
        <w:rPr/>
      </w:pPr>
      <w:r>
        <w:rPr/>
        <w:t>В Закон от 15.05.1991 г. внесены изменения, в основном, в раздел IV, регулирующий вопросы пенсионного обеспечения граждан,  пострадавших в результате катастрофы на Чернобыльской АЭС. В связи с этим в настоящее время нормы данного раздела приведены в соответствие с нормами Закона от 15.12.2001 г. До внесения соответствующих изменений Закон от 15.05.1991 г. применялся в части, не противоречащей новому пенсионному законодательству.</w:t>
      </w:r>
    </w:p>
    <w:p>
      <w:pPr>
        <w:pStyle w:val="TextBody"/>
        <w:spacing w:before="0" w:after="283"/>
        <w:rPr/>
      </w:pPr>
      <w:r>
        <w:rPr/>
        <w:t>Что касается Закона от 31.07.1998 г., то он предусматривал, что размер ежемесячного пособия, назначаемого  членам семьи умершего члена Совета Федерации или депутата Государственной Думы Федерального Собрания Российской Федерации, составляет четырехкратный  размер минимальной пенсии по старости. С 01.01.2002 г. понятие «минимальный размер пенсии по старости» в законодательстве не применяется, в связи с чем возникла необходимость внесения соответствующих изменений в названный Закон. В настоящее время размер пособия зависит от базовой части трудовой пенсии по старости и составляет 165 процентов указанной части пенсии.</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