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 xml:space="preserve">Стратегия долгосрочного развития пенсионной системы Российской Федерации </w:t>
      </w:r>
    </w:p>
    <w:p>
      <w:pPr>
        <w:pStyle w:val="Heading2"/>
        <w:rPr/>
      </w:pPr>
      <w:r>
        <w:rPr/>
        <w:t xml:space="preserve">Стратегия долгосрочного развития пенсионной системы Российской Федерации </w:t>
      </w:r>
    </w:p>
    <w:p>
      <w:pPr>
        <w:pStyle w:val="TextBody"/>
        <w:rPr/>
      </w:pPr>
      <w:r>
        <w:rPr/>
        <w:t>Председатель Правительства Российской Федерации Д.А. Медведев:</w:t>
      </w:r>
      <w:r>
        <w:rPr>
          <w:rStyle w:val="Emphasis"/>
        </w:rPr>
        <w:t xml:space="preserve"> «… мы продолжим работу по совершенствованию пенсионной системы страны, модернизации её элементов в интересах граждан и по достижению её долгосрочной сбалансированности. Эта работа будет опираться на широкое обсуждение стратегии пенсионной реформы – проекта, который готов и сейчас опубликован. Обсуждение нужно будет провести до конца года и принять все необходимые решения».</w:t>
      </w:r>
    </w:p>
    <w:p>
      <w:pPr>
        <w:pStyle w:val="Heading5"/>
        <w:rPr/>
      </w:pPr>
      <w:r>
        <w:rPr/>
        <w:t>20.09.2012 г.</w:t>
      </w:r>
    </w:p>
    <w:p>
      <w:pPr>
        <w:pStyle w:val="TextBody"/>
        <w:spacing w:before="0" w:after="283"/>
        <w:rPr/>
      </w:pPr>
      <w:r>
        <w:rPr>
          <w:rStyle w:val="Emphasis"/>
        </w:rPr>
        <w:t>20 сентября 2012 года проект Стратегии был внесен в Правительство Российской Федерации.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Emphasis">
    <w:name w:val="Emphasis"/>
    <w:qFormat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