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4 октября 2012 г.</w:t>
      </w:r>
    </w:p>
    <w:p>
      <w:pPr>
        <w:pStyle w:val="Heading2"/>
        <w:rPr/>
      </w:pPr>
      <w:r>
        <w:rPr/>
        <w:t>«Об утверждении Правил отказа от направления средств (части средств) материнского (семейного) капитала на формирование накопительной части трудовой пенсии »</w:t>
      </w:r>
    </w:p>
    <w:p>
      <w:pPr>
        <w:pStyle w:val="TextBody"/>
        <w:rPr/>
      </w:pPr>
      <w:r>
        <w:rPr/>
        <w:t>В соответствии со статьей 12 Федерального закона от 29 декабря 2006 г. № 256-ФЗ «О дополнительных мерах государственной поддержки семей, имеющих детей» (Собрание законодательства Российской Федерации, 2008, № 30, ст. 3616; № 52 , ст. 6243; 2010, № 31, ст. 4210; 2011, № 1, ст. 52; № 27, ст. 3880; № 47, ст. 6608; 2012, № 31, ст. 4322) и подпунктом 5.2.120.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Утвердить прилагаемые Правила отказа от направления средств (части средств) материнского (семейного) капитала на формирование накопительной части трудовой пенсии.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