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Разъяснения Минтруда России от 5 октября 2012 г.</w:t>
      </w:r>
    </w:p>
    <w:p>
      <w:pPr>
        <w:pStyle w:val="Heading2"/>
        <w:rPr/>
      </w:pPr>
      <w:r>
        <w:rPr/>
        <w:t>«Разъяснения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требуется»</w:t>
      </w:r>
    </w:p>
    <w:p>
      <w:pPr>
        <w:pStyle w:val="Heading5"/>
        <w:rPr/>
      </w:pPr>
      <w:r>
        <w:rPr/>
        <w:t>Федеральные</w:t>
        <w:br/>
        <w:t>государственные органы</w:t>
      </w:r>
    </w:p>
    <w:p>
      <w:pPr>
        <w:pStyle w:val="TextBody"/>
        <w:rPr/>
      </w:pPr>
      <w:r>
        <w:rPr/>
        <w:t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№ 31 Министерством труда и социальной защиты Российской Федерации подготовлены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>
      <w:pPr>
        <w:pStyle w:val="TextBody"/>
        <w:rPr/>
      </w:pPr>
      <w:r>
        <w:rPr/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государственными органами.</w:t>
      </w:r>
    </w:p>
    <w:p>
      <w:pPr>
        <w:pStyle w:val="TextBody"/>
        <w:rPr/>
      </w:pPr>
      <w:r>
        <w:rPr/>
        <w:t xml:space="preserve">Приложение: на 5 л. в 1 экз.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