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6 ноября 2012 г.</w:t>
      </w:r>
    </w:p>
    <w:p>
      <w:pPr>
        <w:pStyle w:val="Heading2"/>
        <w:rPr/>
      </w:pPr>
      <w:r>
        <w:rPr/>
        <w:t>«О внесении изменений в состав рабочей группы по разработке Стратегии развития пенсионной системы Российской Федерации, утвержденный приказом Министерства труда и социальной защиты Российской Федерации от 12 июля 2012 г. № 21»</w:t>
      </w:r>
    </w:p>
    <w:p>
      <w:pPr>
        <w:pStyle w:val="TextBody"/>
        <w:rPr/>
      </w:pPr>
      <w:r>
        <w:rPr/>
        <w:t>О внесении изменений в состав рабочей группы по разработке Стратегии развития пенсионной системы Российской Федерации, утвержденный приказом Министерства труда и социальной защиты Российской Федерации от 12 июля 2012 г. № 21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состав рабочей группы по разработке Стратегии развития пенсионной системы Российской Федерации, утвержденный приказом Министерства труда и социальной защиты Российской Федерации от 12 июля 2012 г. № 21, включив в него:</w:t>
      </w:r>
    </w:p>
    <w:tbl>
      <w:tblPr>
        <w:tblW w:w="89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95"/>
        <w:gridCol w:w="6695"/>
      </w:tblGrid>
      <w:tr>
        <w:trPr/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Никитченко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Николаевич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негосударственного пенсионного фонда «СтальФонд»</w:t>
            </w:r>
          </w:p>
        </w:tc>
      </w:tr>
    </w:tbl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