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№147н от 12 апреля 2013 г.</w:t>
      </w:r>
    </w:p>
    <w:p>
      <w:pPr>
        <w:pStyle w:val="Heading2"/>
        <w:rPr/>
      </w:pPr>
      <w:r>
        <w:rPr/>
        <w:t>«Об утверждении Макета профессионального стандарта»</w:t>
      </w:r>
    </w:p>
    <w:p>
      <w:pPr>
        <w:pStyle w:val="TextBody"/>
        <w:rPr/>
      </w:pPr>
      <w:r>
        <w:rPr/>
        <w:t xml:space="preserve">В соответствии с пунктом 6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№ 23 (Собрание законодательства Российской Федерации, 2013, № 4, ст. 293), п р и к а з ы в а ю: </w:t>
      </w:r>
    </w:p>
    <w:p>
      <w:pPr>
        <w:pStyle w:val="TextBody"/>
        <w:rPr/>
      </w:pPr>
      <w:r>
        <w:rPr/>
        <w:t>Утвердить прилагаемый Макет профессионального стандарта.</w:t>
      </w:r>
    </w:p>
    <w:p>
      <w:pPr>
        <w:pStyle w:val="Heading5"/>
        <w:spacing w:before="120" w:after="60"/>
        <w:rPr/>
      </w:pPr>
      <w:r>
        <w:rPr/>
        <w:t xml:space="preserve">Министр </w:t>
        <w:b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