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13 апреля 2013 г.</w:t>
      </w:r>
    </w:p>
    <w:p>
      <w:pPr>
        <w:pStyle w:val="Heading2"/>
        <w:rPr/>
      </w:pPr>
      <w:r>
        <w:rPr/>
        <w:t>«Состав Аттестационной комиссии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(утвержден приказом Минтруда России от 30 апреля 2013 г. № 226-лс, с изменениями, внесенными приказами Минтруда России от 30 сентября 2013 г. № 487-лс, от 11 сентября 2015 г. №441-лс)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81"/>
        <w:gridCol w:w="2352"/>
        <w:gridCol w:w="7372"/>
      </w:tblGrid>
      <w:tr>
        <w:trPr/>
        <w:tc>
          <w:tcPr>
            <w:tcW w:w="4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№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п.п.</w:t>
            </w:r>
          </w:p>
        </w:tc>
        <w:tc>
          <w:tcPr>
            <w:tcW w:w="23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Ф.И.О.</w:t>
            </w:r>
          </w:p>
        </w:tc>
        <w:tc>
          <w:tcPr>
            <w:tcW w:w="73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Замещаемая должность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3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Черкасов Алексей Анатольевич</w:t>
            </w:r>
          </w:p>
        </w:tc>
        <w:tc>
          <w:tcPr>
            <w:tcW w:w="7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(председатель)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3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Баснак Дмитрий Валерьевич</w:t>
            </w:r>
          </w:p>
        </w:tc>
        <w:tc>
          <w:tcPr>
            <w:tcW w:w="7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государственной политики в сфере государственной и муниципальной службы, профилактики коррупции (заместитель председателя)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3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Цыбина Ирина Владимировна</w:t>
            </w:r>
          </w:p>
        </w:tc>
        <w:tc>
          <w:tcPr>
            <w:tcW w:w="7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управления делами (заместитель председателя)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3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Никитина Татьяна Владимировна</w:t>
            </w:r>
          </w:p>
        </w:tc>
        <w:tc>
          <w:tcPr>
            <w:tcW w:w="7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государственной службы и кадров Департамента управления делами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23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Томилина Янина Вячеславовна</w:t>
            </w:r>
          </w:p>
        </w:tc>
        <w:tc>
          <w:tcPr>
            <w:tcW w:w="7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трудового законодательства Департамента правовой и международной деятельности</w:t>
            </w:r>
          </w:p>
        </w:tc>
      </w:tr>
      <w:tr>
        <w:trPr/>
        <w:tc>
          <w:tcPr>
            <w:tcW w:w="48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235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Сибирёва Ольга Сергеевна</w:t>
            </w:r>
          </w:p>
        </w:tc>
        <w:tc>
          <w:tcPr>
            <w:tcW w:w="73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консультант отдела государственной службы и кадров Департамента управления делами (секретарь)</w:t>
            </w:r>
          </w:p>
        </w:tc>
      </w:tr>
    </w:tbl>
    <w:p>
      <w:pPr>
        <w:pStyle w:val="TextBody"/>
        <w:rPr/>
      </w:pPr>
      <w:r>
        <w:rPr/>
        <w:t>Примечание: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Комиссии входят представители научных и образовательных учреждений, других организаций в качестве независимых экспертов – специалистов по вопросам, связанным с гражданской службой (по запросу).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Комиссии включаются представители Общественного совета Министерства труда и социальной защиты Российской Федерации. Общее число этих представителей и независимых экспертов должно составлять не менее одной четверти от общего числа членов Комиссии.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Кандидатуры представителей Общественного совета Министерства труда и социальной защиты Российской Федерации для включения в состав Комиссии представляются этим советом по запросу Министра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Проведение заседания Комиссии с участием только ее членов, замещающих должности гражданской службы, не допускается.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