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№235 от 31 мая 2013 г.</w:t>
      </w:r>
    </w:p>
    <w:p>
      <w:pPr>
        <w:pStyle w:val="Heading2"/>
        <w:rPr/>
      </w:pPr>
      <w:r>
        <w:rPr/>
        <w:t>«Об утверждении методических рекомендаций для федеральных органов исполнительной власти по разработке типовых отраслевых норм труда»</w:t>
      </w:r>
    </w:p>
    <w:p>
      <w:pPr>
        <w:pStyle w:val="TextBody"/>
        <w:rPr/>
      </w:pPr>
      <w:r>
        <w:rPr/>
        <w:t>В соответствии с пунктом 5 приложения №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2190-р, п р и к а з ы в а ю:</w:t>
      </w:r>
    </w:p>
    <w:p>
      <w:pPr>
        <w:pStyle w:val="TextBody"/>
        <w:rPr/>
      </w:pPr>
      <w:r>
        <w:rPr/>
        <w:t>Утвердить методические рекомендации для федеральных органов исполнительной власти по разработке типовых отраслевых норм труда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