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№240н от 5 июня 2013 г.</w:t>
      </w:r>
    </w:p>
    <w:p>
      <w:pPr>
        <w:pStyle w:val="Heading2"/>
        <w:rPr/>
      </w:pPr>
      <w:r>
        <w:rPr/>
        <w:t>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>(в ред. Приказа Минтруда России от 03.02.2014 N 67н)</w:t>
      </w:r>
    </w:p>
    <w:p>
      <w:pPr>
        <w:pStyle w:val="TextBody"/>
        <w:rPr/>
      </w:pPr>
      <w:r>
        <w:rPr/>
        <w:t>В соответствии со статьями 8 и 8.1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6954, N 53, ст. 7605), Федеральным законом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Руководителям организаций, созданных для выполнения задач, поставленных перед Министерством труда и социальной защиты Российской Федерации: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структурное подразделение или должностное лицо, ответственное за работу по профилактике коррупционных и иных правонарушений;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ознакомить своих работников с Порядком и установить контроль за своевременным предоставлением и правильностью оформления соответствующих сведений.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