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№715н от 5 декабря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медико-социальной экспертизе»»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«Специалист по медико-социальной экспертизе».</w:t>
      </w:r>
    </w:p>
    <w:p>
      <w:pPr>
        <w:pStyle w:val="TextBody"/>
        <w:rPr/>
      </w:pPr>
      <w:r>
        <w:rPr/>
        <w:t>2. Установить, что профессиональный стандарт «Специалист по медико-социальной экспертизе»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