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№6 от 13 февраля 2014 г.</w:t>
      </w:r>
    </w:p>
    <w:p>
      <w:pPr>
        <w:pStyle w:val="Heading2"/>
        <w:rPr/>
      </w:pPr>
      <w:r>
        <w:rPr/>
        <w:t>«Протокол заседания конкурсной комиссии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мероприятия государственной программы Российской Федерации «Доступная среда» на 2011-2015 годы»</w:t>
      </w:r>
    </w:p>
    <w:p>
      <w:pPr>
        <w:pStyle w:val="TextBody"/>
        <w:rPr/>
      </w:pPr>
      <w:r>
        <w:rPr/>
        <w:t>1. Конкурсная комиссия в составе:</w:t>
      </w:r>
    </w:p>
    <w:p>
      <w:pPr>
        <w:pStyle w:val="TextBody"/>
        <w:rPr/>
      </w:pPr>
      <w:r>
        <w:rPr/>
        <w:t>Председатель Конкурсной комиссии: А.В. Вовченко.</w:t>
      </w:r>
    </w:p>
    <w:p>
      <w:pPr>
        <w:pStyle w:val="TextBody"/>
        <w:rPr/>
      </w:pPr>
      <w:r>
        <w:rPr/>
        <w:t>Ответственный секретарь Конкурсной комиссии: М.А. Сальникова.</w:t>
      </w:r>
    </w:p>
    <w:p>
      <w:pPr>
        <w:pStyle w:val="TextBody"/>
        <w:rPr/>
      </w:pPr>
      <w:r>
        <w:rPr/>
        <w:t>Члены Конкурсной комиссии: Г.Г. Лекарев, А.В. Гусенкова, С.Б. Горюнов,</w:t>
        <w:br/>
        <w:t>И.В. Гривина, Т.А. Ковалева, С.В. Привезенцева.</w:t>
      </w:r>
    </w:p>
    <w:p>
      <w:pPr>
        <w:pStyle w:val="TextBody"/>
        <w:rPr/>
      </w:pPr>
      <w:r>
        <w:rPr/>
        <w:t>2. На заседании Конкурсной комиссии присутствовало 8 членов Конкурсной комиссии. Кворум имеется.</w:t>
      </w:r>
    </w:p>
    <w:p>
      <w:pPr>
        <w:pStyle w:val="TextBody"/>
        <w:rPr/>
      </w:pPr>
      <w:r>
        <w:rPr/>
        <w:t>3. Конкурсная комиссия, руководствуясь Правилами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 (далее – Правила), утвержденными постановлением Правительства Российской Федерации от 17.11.2011 № 941, Порядком и условиями конкурсного отбора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(далее соответственно – Порядок, Конкурсный отбор), утвержденными приказом Министерства труда и социальной защиты Российской Федерации от 01.02.2013 № 38н, а также приказом Министерства труда и социальной защиты Российской Федерации от 01.04.2013 № 128 «О конкурсной комиссии Министерства труда и социальной защиты Российской Федерации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а также протоколом заседания конкурсной комиссии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мероприятия государственной программы Российской Федерации «Доступная среда» на 2011-2015 годы от 06.02.2014 № 5 приняла решение по распределению субсидии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мероприятия государственной программы Российской Федерации «Доступная среда» на 2011-2015 годы (далее – Субсидия).</w:t>
      </w:r>
    </w:p>
    <w:p>
      <w:pPr>
        <w:pStyle w:val="TextBody"/>
        <w:rPr/>
      </w:pPr>
      <w:r>
        <w:rPr/>
        <w:t>4. В рамках государственной программой Российской Федерации «Доступная среда» на 2011-2015 годы, утвержденной распоряжением Правительства Российской Федерации от 26.11.2012 № 2181-р,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предусмотрены средства в объеме 148 418 500,0 руб.</w:t>
      </w:r>
    </w:p>
    <w:p>
      <w:pPr>
        <w:pStyle w:val="TextBody"/>
        <w:rPr/>
      </w:pPr>
      <w:r>
        <w:rPr/>
        <w:t>Принимая во внимание, что общий объем запрашиваемых общественными организациями инвалидов средств из федерального бюджета на поддержку программ по содействию трудоустройству инвалидов на рынке труда, в том числе созданию рабочих мест и обеспечению доступности рабочих мест, который составляет 122 648 678,54 руб., Конкурсной комиссией принято решение не применять Методику расчета размера субсидий, представляемых из федерального бюджета, утвержденной постановлением Правительства Российской Федерации от 17.11.2011 № 941, и предоставить Субсидию организациям, включенным в перечень общественных организаций инвалидов, которые удовлетворяют требованиям, указанным в пункте 6 Правил и пункта 2 Порядка, и программы которых получили наивысшие оценки, в запрашиваемом объеме:</w:t>
      </w:r>
    </w:p>
    <w:p>
      <w:pPr>
        <w:pStyle w:val="TextBody"/>
        <w:rPr/>
      </w:pPr>
      <w:r>
        <w:rPr/>
        <w:t>4.1. Общероссийская общественная организация инвалидов «Всероссийское общество глухих» – 15 034 200,0 руб.;</w:t>
      </w:r>
    </w:p>
    <w:p>
      <w:pPr>
        <w:pStyle w:val="TextBody"/>
        <w:rPr/>
      </w:pPr>
      <w:r>
        <w:rPr/>
        <w:t>4.2. Региональная общественная организация инвалидов «Перспектива» – 5 477 578,54 руб.;</w:t>
      </w:r>
    </w:p>
    <w:p>
      <w:pPr>
        <w:pStyle w:val="TextBody"/>
        <w:rPr/>
      </w:pPr>
      <w:r>
        <w:rPr/>
        <w:t>4.3. Общероссийская общественная организация инвалидов «Всероссийское Ордена Трудового Красного Знамени общество слепых» (ВОС) – 87 388 900,0 руб.;</w:t>
      </w:r>
    </w:p>
    <w:p>
      <w:pPr>
        <w:pStyle w:val="TextBody"/>
        <w:rPr/>
      </w:pPr>
      <w:r>
        <w:rPr/>
        <w:t>4.4. Белгородская региональная организация Общероссийской общественной организации «Всероссийское общество инвалидов» – 12 600 000,0 руб.</w:t>
      </w:r>
    </w:p>
    <w:p>
      <w:pPr>
        <w:pStyle w:val="TextBody"/>
        <w:rPr/>
      </w:pPr>
      <w:r>
        <w:rPr/>
        <w:t>4.5. Общественная организация «Тюменская областная организация Всероссийского общества инвалидов» – 2 148 000,0 руб.</w:t>
      </w:r>
    </w:p>
    <w:p>
      <w:pPr>
        <w:pStyle w:val="TextBody"/>
        <w:rPr/>
      </w:pPr>
      <w:r>
        <w:rPr/>
        <w:t>5. Конкурсная комиссия отмечает, что слова «пункта 8 (документы не сброшюрованы)» в графе «причины» в подпункте 1 таблицы пункта 4.1 протокола заседания конкурсной комиссии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мероприятия государственной программы Российской Федерации «Доступная среда» на 2011-2015 годы от 06.02.2014 № 5 (далее – протокол № 5 от 06.02.2014) указаны ошибочно. Включение данного подпункта не влияет на решение Конкурсной комиссии.</w:t>
      </w:r>
    </w:p>
    <w:p>
      <w:pPr>
        <w:pStyle w:val="TextBody"/>
        <w:rPr/>
      </w:pPr>
      <w:r>
        <w:rPr/>
        <w:t>6. Конкурсная комиссия отмечает, что в срок проведения Конкурсного отбора Региональной общественной организацией инвалидов «Стимул» Московской области (далее – РООИ «Стимул») письмом от 27.01.2014</w:t>
        <w:br/>
        <w:t>№ 015-01-14 сообщено о допущенной ошибке в Заявке для участия в Конкурсном отборе (далее – Заявка), в части финансового обеспечения программы РООИ «Стимул», и направила следующие документы взамен ранее направленных письмом от 26.01.2014 № 014-01-14: Заявку, приложение «Источники финансирования», приложение «Смета мероприятия», компакт-диск с записью предоставленных документов, для приобщения к представленным ранее документам.</w:t>
      </w:r>
    </w:p>
    <w:p>
      <w:pPr>
        <w:pStyle w:val="TextBody"/>
        <w:rPr/>
      </w:pPr>
      <w:r>
        <w:rPr/>
        <w:t>Проанализировав дополнительно представленные документы, Конкурсная комиссия признает, что РООИ «Стимул» запланировано использование на финансирование проекта собственных и привлеченных средств в размере не менее 30 процентов от общего объема финансового обеспечения, что соответствует подпункту «б» пункта 5 Правил.</w:t>
      </w:r>
    </w:p>
    <w:p>
      <w:pPr>
        <w:pStyle w:val="TextBody"/>
        <w:rPr/>
      </w:pPr>
      <w:r>
        <w:rPr/>
        <w:t>Вместе с тем, Конкурсная комиссия отмечает, что данное обстоятельство не влияет на решения принятые протоколом № 5 от 06.02.2014, так как представленные РООИ «Стимул» документы на Конкурсный отбор не соответствуют условиям подпункта «в» пункта 6 Правил (не указано значение целевого показателя «средняя заработная плата трудоустраиваемых инвалидов», программы РООИ «Стимул» для оценки эффективности осуществления расходов, источником финансового обеспечения которых является субсидия), и подпунктов «б», «в», «г», «е» пункта 2 Порядка (в документах на участие в Конкурсном отборе отсутствуют: программа по содействию трудоустройству инвалидов, пояснительная записка к программе, финансово-экономическое обоснование мероприятий программы, перечень собственных и привлеченных средств на финансирование реализации мероприятий программы с указанием объемов финансового обеспечения).</w:t>
      </w:r>
    </w:p>
    <w:p>
      <w:pPr>
        <w:pStyle w:val="TextBody"/>
        <w:rPr/>
      </w:pPr>
      <w:r>
        <w:rPr/>
        <w:t>7. Настоящий протокол подлежит размещению на официальном сайте Министерства труда и социальной защиты Российской Федерации в информационно-телекоммуникационной сети «Интернет».</w:t>
      </w:r>
    </w:p>
    <w:p>
      <w:pPr>
        <w:pStyle w:val="TextBody"/>
        <w:rPr/>
      </w:pPr>
      <w:r>
        <w:rPr/>
        <w:t>8. Настоящий протокол подлежит хранению в течение пяти лет со дня его подписания.</w:t>
      </w:r>
    </w:p>
    <w:p>
      <w:pPr>
        <w:pStyle w:val="TextBody"/>
        <w:rPr/>
      </w:pPr>
      <w:r>
        <w:rPr/>
        <w:t>9. Подписи:</w:t>
      </w:r>
    </w:p>
    <w:tbl>
      <w:tblPr>
        <w:tblW w:w="5080" w:type="dxa"/>
        <w:jc w:val="left"/>
        <w:tblInd w:w="0" w:type="dxa"/>
        <w:tblBorders/>
        <w:tblCellMar>
          <w:top w:w="0" w:type="dxa"/>
          <w:left w:w="0" w:type="dxa"/>
          <w:bottom w:w="0" w:type="dxa"/>
          <w:right w:w="0" w:type="dxa"/>
        </w:tblCellMar>
      </w:tblPr>
      <w:tblGrid>
        <w:gridCol w:w="3125"/>
        <w:gridCol w:w="1955"/>
      </w:tblGrid>
      <w:tr>
        <w:trPr/>
        <w:tc>
          <w:tcPr>
            <w:tcW w:w="3125" w:type="dxa"/>
            <w:tcBorders/>
            <w:shd w:fill="auto" w:val="clear"/>
          </w:tcPr>
          <w:p>
            <w:pPr>
              <w:pStyle w:val="TableContents"/>
              <w:rPr/>
            </w:pPr>
            <w:r>
              <w:rPr/>
              <w:t>Председатель</w:t>
            </w:r>
          </w:p>
          <w:p>
            <w:pPr>
              <w:pStyle w:val="TableContents"/>
              <w:spacing w:before="0" w:after="283"/>
              <w:rPr/>
            </w:pPr>
            <w:r>
              <w:rPr/>
              <w:t>Конкурсной комиссии:</w:t>
            </w:r>
          </w:p>
        </w:tc>
        <w:tc>
          <w:tcPr>
            <w:tcW w:w="1955" w:type="dxa"/>
            <w:tcBorders/>
            <w:shd w:fill="auto" w:val="clear"/>
          </w:tcPr>
          <w:p>
            <w:pPr>
              <w:pStyle w:val="TableContents"/>
              <w:spacing w:before="0" w:after="283"/>
              <w:rPr/>
            </w:pPr>
            <w:r>
              <w:rPr/>
              <w:t>А.В. Вовченко</w:t>
            </w:r>
          </w:p>
        </w:tc>
      </w:tr>
      <w:tr>
        <w:trPr/>
        <w:tc>
          <w:tcPr>
            <w:tcW w:w="3125" w:type="dxa"/>
            <w:tcBorders/>
            <w:shd w:fill="auto" w:val="clear"/>
          </w:tcPr>
          <w:p>
            <w:pPr>
              <w:pStyle w:val="TableContents"/>
              <w:rPr/>
            </w:pPr>
            <w:r>
              <w:rPr/>
              <w:t>Ответственный секретарь</w:t>
            </w:r>
          </w:p>
          <w:p>
            <w:pPr>
              <w:pStyle w:val="TableContents"/>
              <w:spacing w:before="0" w:after="283"/>
              <w:rPr/>
            </w:pPr>
            <w:r>
              <w:rPr/>
              <w:t>Конкурсной комиссии:</w:t>
            </w:r>
          </w:p>
        </w:tc>
        <w:tc>
          <w:tcPr>
            <w:tcW w:w="1955" w:type="dxa"/>
            <w:tcBorders/>
            <w:shd w:fill="auto" w:val="clear"/>
          </w:tcPr>
          <w:p>
            <w:pPr>
              <w:pStyle w:val="TableContents"/>
              <w:spacing w:before="0" w:after="283"/>
              <w:rPr/>
            </w:pPr>
            <w:r>
              <w:rPr/>
              <w:t>М.А. Сальникова</w:t>
            </w:r>
          </w:p>
        </w:tc>
      </w:tr>
      <w:tr>
        <w:trPr/>
        <w:tc>
          <w:tcPr>
            <w:tcW w:w="3125" w:type="dxa"/>
            <w:tcBorders/>
            <w:shd w:fill="auto" w:val="clear"/>
          </w:tcPr>
          <w:p>
            <w:pPr>
              <w:pStyle w:val="TableContents"/>
              <w:spacing w:before="0" w:after="283"/>
              <w:rPr/>
            </w:pPr>
            <w:r>
              <w:rPr/>
              <w:t>Члены Конкурсной комиссии:</w:t>
            </w:r>
          </w:p>
        </w:tc>
        <w:tc>
          <w:tcPr>
            <w:tcW w:w="1955" w:type="dxa"/>
            <w:tcBorders/>
            <w:shd w:fill="auto" w:val="clear"/>
          </w:tcPr>
          <w:p>
            <w:pPr>
              <w:pStyle w:val="TableContents"/>
              <w:spacing w:before="0" w:after="283"/>
              <w:rPr/>
            </w:pPr>
            <w:r>
              <w:rPr/>
              <w:t>Г.Г. Лекарев</w:t>
            </w:r>
          </w:p>
        </w:tc>
      </w:tr>
      <w:tr>
        <w:trPr/>
        <w:tc>
          <w:tcPr>
            <w:tcW w:w="3125" w:type="dxa"/>
            <w:tcBorders/>
            <w:shd w:fill="auto" w:val="clear"/>
          </w:tcPr>
          <w:p>
            <w:pPr>
              <w:pStyle w:val="TableContents"/>
              <w:spacing w:before="0" w:after="283"/>
              <w:rPr>
                <w:sz w:val="4"/>
                <w:szCs w:val="4"/>
              </w:rPr>
            </w:pPr>
            <w:r>
              <w:rPr>
                <w:sz w:val="4"/>
                <w:szCs w:val="4"/>
              </w:rPr>
            </w:r>
          </w:p>
        </w:tc>
        <w:tc>
          <w:tcPr>
            <w:tcW w:w="1955" w:type="dxa"/>
            <w:tcBorders/>
            <w:shd w:fill="auto" w:val="clear"/>
          </w:tcPr>
          <w:p>
            <w:pPr>
              <w:pStyle w:val="TableContents"/>
              <w:spacing w:before="0" w:after="283"/>
              <w:rPr/>
            </w:pPr>
            <w:r>
              <w:rPr/>
              <w:t>А.В. Гусенкова</w:t>
            </w:r>
          </w:p>
        </w:tc>
      </w:tr>
      <w:tr>
        <w:trPr/>
        <w:tc>
          <w:tcPr>
            <w:tcW w:w="3125" w:type="dxa"/>
            <w:tcBorders/>
            <w:shd w:fill="auto" w:val="clear"/>
          </w:tcPr>
          <w:p>
            <w:pPr>
              <w:pStyle w:val="TableContents"/>
              <w:spacing w:before="0" w:after="283"/>
              <w:rPr>
                <w:sz w:val="4"/>
                <w:szCs w:val="4"/>
              </w:rPr>
            </w:pPr>
            <w:r>
              <w:rPr>
                <w:sz w:val="4"/>
                <w:szCs w:val="4"/>
              </w:rPr>
            </w:r>
          </w:p>
        </w:tc>
        <w:tc>
          <w:tcPr>
            <w:tcW w:w="1955" w:type="dxa"/>
            <w:tcBorders/>
            <w:shd w:fill="auto" w:val="clear"/>
          </w:tcPr>
          <w:p>
            <w:pPr>
              <w:pStyle w:val="TableContents"/>
              <w:spacing w:before="0" w:after="283"/>
              <w:rPr/>
            </w:pPr>
            <w:r>
              <w:rPr/>
              <w:t>С. Б. Горюнов</w:t>
            </w:r>
          </w:p>
        </w:tc>
      </w:tr>
      <w:tr>
        <w:trPr/>
        <w:tc>
          <w:tcPr>
            <w:tcW w:w="3125" w:type="dxa"/>
            <w:tcBorders/>
            <w:shd w:fill="auto" w:val="clear"/>
          </w:tcPr>
          <w:p>
            <w:pPr>
              <w:pStyle w:val="TableContents"/>
              <w:spacing w:before="0" w:after="283"/>
              <w:rPr>
                <w:sz w:val="4"/>
                <w:szCs w:val="4"/>
              </w:rPr>
            </w:pPr>
            <w:r>
              <w:rPr>
                <w:sz w:val="4"/>
                <w:szCs w:val="4"/>
              </w:rPr>
            </w:r>
          </w:p>
        </w:tc>
        <w:tc>
          <w:tcPr>
            <w:tcW w:w="1955" w:type="dxa"/>
            <w:tcBorders/>
            <w:shd w:fill="auto" w:val="clear"/>
          </w:tcPr>
          <w:p>
            <w:pPr>
              <w:pStyle w:val="TableContents"/>
              <w:spacing w:before="0" w:after="283"/>
              <w:rPr/>
            </w:pPr>
            <w:r>
              <w:rPr/>
              <w:t>И.В. Гривина</w:t>
            </w:r>
          </w:p>
        </w:tc>
      </w:tr>
      <w:tr>
        <w:trPr/>
        <w:tc>
          <w:tcPr>
            <w:tcW w:w="3125" w:type="dxa"/>
            <w:tcBorders/>
            <w:shd w:fill="auto" w:val="clear"/>
          </w:tcPr>
          <w:p>
            <w:pPr>
              <w:pStyle w:val="TableContents"/>
              <w:spacing w:before="0" w:after="283"/>
              <w:rPr>
                <w:sz w:val="4"/>
                <w:szCs w:val="4"/>
              </w:rPr>
            </w:pPr>
            <w:r>
              <w:rPr>
                <w:sz w:val="4"/>
                <w:szCs w:val="4"/>
              </w:rPr>
            </w:r>
          </w:p>
        </w:tc>
        <w:tc>
          <w:tcPr>
            <w:tcW w:w="1955" w:type="dxa"/>
            <w:tcBorders/>
            <w:shd w:fill="auto" w:val="clear"/>
          </w:tcPr>
          <w:p>
            <w:pPr>
              <w:pStyle w:val="TableContents"/>
              <w:spacing w:before="0" w:after="283"/>
              <w:rPr/>
            </w:pPr>
            <w:r>
              <w:rPr/>
              <w:t>Т.А. Ковалева</w:t>
            </w:r>
          </w:p>
        </w:tc>
      </w:tr>
      <w:tr>
        <w:trPr/>
        <w:tc>
          <w:tcPr>
            <w:tcW w:w="3125" w:type="dxa"/>
            <w:tcBorders/>
            <w:shd w:fill="auto" w:val="clear"/>
          </w:tcPr>
          <w:p>
            <w:pPr>
              <w:pStyle w:val="TableContents"/>
              <w:spacing w:before="0" w:after="283"/>
              <w:rPr>
                <w:sz w:val="4"/>
                <w:szCs w:val="4"/>
              </w:rPr>
            </w:pPr>
            <w:r>
              <w:rPr>
                <w:sz w:val="4"/>
                <w:szCs w:val="4"/>
              </w:rPr>
            </w:r>
          </w:p>
        </w:tc>
        <w:tc>
          <w:tcPr>
            <w:tcW w:w="1955" w:type="dxa"/>
            <w:tcBorders/>
            <w:shd w:fill="auto" w:val="clear"/>
          </w:tcPr>
          <w:p>
            <w:pPr>
              <w:pStyle w:val="TableContents"/>
              <w:spacing w:before="0" w:after="283"/>
              <w:rPr/>
            </w:pPr>
            <w:r>
              <w:rPr/>
              <w:t>С.В. Привезенцева</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