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от 17 июня 2014 г.</w:t>
      </w:r>
    </w:p>
    <w:p>
      <w:pPr>
        <w:pStyle w:val="Heading2"/>
        <w:rPr/>
      </w:pPr>
      <w:r>
        <w:rPr/>
        <w:t>«Протокол заседания жюри Конкурса организаторов образовательных программ для граждан пожилого возраста, учителей и учеников «Доступный интернет»»</w:t>
      </w:r>
    </w:p>
    <w:p>
      <w:pPr>
        <w:pStyle w:val="TextBody"/>
        <w:rPr/>
      </w:pPr>
      <w:r>
        <w:rPr/>
        <w:t>В соответствии с критериями оценки, членами жюри независимо друг от друга, выявлены победители в номинациях:</w:t>
      </w:r>
    </w:p>
    <w:p>
      <w:pPr>
        <w:pStyle w:val="TextBody"/>
        <w:rPr/>
      </w:pPr>
      <w:r>
        <w:rPr>
          <w:rStyle w:val="StrongEmphasis"/>
        </w:rPr>
        <w:t>Лучший учитель компьютерной грамотности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 место: «Гимназия №122 им. Ж.А. Зайцевой» Московского района г. Казани. СМИРНОВА Гузэль Хадиевна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 место: Государственное бюджетное образовательное учреждение города Москвы Гимназия 1527. Интернет и безопасность. АЛЕКСАНЕНКОВА Марина Вениаминовна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3 место: Комплексный центр социального обслуживания населения Центрального района Санкт-Петербурга". Обучение компьютерной грамотности граждан пожилого возраста. КОБЛОВА Надежда Владимировна </w:t>
      </w:r>
    </w:p>
    <w:p>
      <w:pPr>
        <w:pStyle w:val="TextBody"/>
        <w:rPr/>
      </w:pPr>
      <w:r>
        <w:rPr>
          <w:rStyle w:val="StrongEmphasis"/>
        </w:rPr>
        <w:t>Компьютер на связи поколений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 место: Тихорецкий комплексный центр социального обслуживания населения «Лира» Краснодарского края. «Компьютер на связи поколений»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 место: Территориальный центр социального обслуживания населения «Жулебино» г. Москвы. «Компьютерный класс для пенсионеров, инвалидов, детей и подростков из социально незащищенных, многодетных семей»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3 место: "Усть-Кубинский комплексный центр социального обслуживания населения" Вологодской области. Клуб для граждан пожилого возраста "Доступный интернет" </w:t>
      </w:r>
    </w:p>
    <w:p>
      <w:pPr>
        <w:pStyle w:val="TextBody"/>
        <w:rPr/>
      </w:pPr>
      <w:r>
        <w:rPr>
          <w:rStyle w:val="StrongEmphasis"/>
        </w:rPr>
        <w:t>Виртуальный клуб по интересам (путешествия, досуг, домоводство)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 место: Государственное бюджетное учреждение «Центр социального обслуживания граждан пожилого возраста и инвалидов по городу Кургану». Виртуальный клуб по интересам «Мир вокруг нас» («Виртуальный туризм»).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 место: Территориальный центр социального обслуживания «Щукино» филиал «Строгино» г. Москвы. Интернет виртуальный клуб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3 место: Дмитровский дом-интернат малой вместимости для пожилых людей и инвалидов "Дом доброты" Московской области. "Мост дружбы" </w:t>
      </w:r>
    </w:p>
    <w:p>
      <w:pPr>
        <w:pStyle w:val="TextBody"/>
        <w:rPr/>
      </w:pPr>
      <w:r>
        <w:rPr>
          <w:rStyle w:val="StrongEmphasis"/>
        </w:rPr>
        <w:t>Лучший организатор образовательной программы для граждан пожилого возраста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 место: Общероссийская общественная организация «Союз пенсионеров России» по Республике Татарстан. «Университет третьего возраста»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 место: Министерство социального развития и труда Астраханской области. Областной проект по обучению пенсионеров компьютерной грамотности "Все в сеть!"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3 место: Департамент информационный технологий Правительства Ульяновской области Областное государственное бюджетное учреждение «Электронный Ульяновск». Центр компетенции в сфере Информационных технологий. Основы компьютерной и информационной грамотности. </w:t>
      </w:r>
    </w:p>
    <w:p>
      <w:pPr>
        <w:pStyle w:val="TextBody"/>
        <w:rPr/>
      </w:pPr>
      <w:r>
        <w:rPr>
          <w:rStyle w:val="StrongEmphasis"/>
        </w:rPr>
        <w:t>Лучшая программа образовательного учреждения по ликвидации компьютерной неграмотности среди граждан пожилого возраста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 место: Пензенский государственный университет. Обучение взрослого населения Пензенской области основам компьютерной грамотности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 место: Центр социального обслуживания граждан пожилого возраста и инвалидов №2 г. Волгодонска. Образовательная программа факультета «Компьютерная грамотность» Народного университета «Серебряный век»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3 место: Средняя общеобразовательная школа № 68» г. Архангельска. «Интернет для всех» </w:t>
      </w:r>
    </w:p>
    <w:p>
      <w:pPr>
        <w:pStyle w:val="TextBody"/>
        <w:rPr/>
      </w:pPr>
      <w:r>
        <w:rPr>
          <w:rStyle w:val="StrongEmphasis"/>
        </w:rPr>
        <w:t>Приз зрительских симпатий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 место: ОАО "Мобильные ТелеСистемы" (МТС). "Сети все возрасты покорны"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 место: Представительство Межрегиональной общественной организации «Ассоциация ветеранов, инвалидов и пенсионеров» в Тульской области на базе Центральной городской библиотеки им. Л.Н.Толстого. Национальная социальная программа массового бесплатного обучения старшего поколения основам ИКТ: «Бабушка-онлайн» - «Дедушка-онлайн»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3 место: "Централизованная библиотечная система" города Норильска. Школа компьютерной грамотности для граждан пожилого возраста "60+ПК" </w:t>
      </w:r>
    </w:p>
    <w:p>
      <w:pPr>
        <w:pStyle w:val="TextBody"/>
        <w:rPr/>
      </w:pPr>
      <w:r>
        <w:rPr>
          <w:rStyle w:val="StrongEmphasis"/>
        </w:rPr>
        <w:t xml:space="preserve">Специальный приз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1. За комплексный подход по обучению пожилых людей компьютерной грамотности на территории республики - Министерство труда, занятости и социальной защиты Республики Татарстан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2. За вклад в обучение пожилых людей в малых городах России - «Собинский комплексный центр социального обслуживания населения» Владимирской области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3. За обучение компьютерной грамотности людей с ограниченными возможностями - Управление социальной защиты населения по г. Улан-Удэ, Республика Бурятия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4. За успешное обучение пожилых людей на селе - Комплексный центр социального обслуживания населения «Ермаковский» Красноярского края. Университет «Серебряный возраст»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5. За особые достижения по приобщению пенсионеров к культурным ценностям с помощью информационных технологий - Тульская областная универсальная научная библиотека </w:t>
      </w:r>
    </w:p>
    <w:p>
      <w:pPr>
        <w:pStyle w:val="TextBody"/>
        <w:rPr/>
      </w:pPr>
      <w:r>
        <w:rPr/>
        <w:t xml:space="preserve">Члены жюри: 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8665"/>
        <w:gridCol w:w="1540"/>
      </w:tblGrid>
      <w:tr>
        <w:trPr/>
        <w:tc>
          <w:tcPr>
            <w:tcW w:w="86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Председатель жюри Конкурса, заместитель Министра труда и социальной защиты Российской Федерации </w:t>
            </w:r>
          </w:p>
        </w:tc>
        <w:tc>
          <w:tcPr>
            <w:tcW w:w="15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Вовченко А.В.</w:t>
            </w:r>
          </w:p>
        </w:tc>
      </w:tr>
      <w:tr>
        <w:trPr/>
        <w:tc>
          <w:tcPr>
            <w:tcW w:w="86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председателя жюри Конкурса, директор Департамента демографической политики и социальной защиты населения Министерства труда и социальной защиты Российской Федерации </w:t>
            </w:r>
          </w:p>
        </w:tc>
        <w:tc>
          <w:tcPr>
            <w:tcW w:w="15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Петрова С.В.</w:t>
            </w:r>
          </w:p>
        </w:tc>
      </w:tr>
      <w:tr>
        <w:trPr/>
        <w:tc>
          <w:tcPr>
            <w:tcW w:w="86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Руководитель направления государственной поддержки малого и среднего бизнеса закрытого акционерного общества «Деловая среда» </w:t>
            </w:r>
          </w:p>
        </w:tc>
        <w:tc>
          <w:tcPr>
            <w:tcW w:w="15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Арабина В.В.</w:t>
            </w:r>
          </w:p>
        </w:tc>
      </w:tr>
      <w:tr>
        <w:trPr/>
        <w:tc>
          <w:tcPr>
            <w:tcW w:w="86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Вице-президент открытого акционерного общества «Ростелеком» </w:t>
            </w:r>
          </w:p>
        </w:tc>
        <w:tc>
          <w:tcPr>
            <w:tcW w:w="15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Басов А.Н.</w:t>
            </w:r>
          </w:p>
        </w:tc>
      </w:tr>
      <w:tr>
        <w:trPr/>
        <w:tc>
          <w:tcPr>
            <w:tcW w:w="86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Директор по развитию закрытого акционерного общества «Деловая среда» </w:t>
            </w:r>
          </w:p>
        </w:tc>
        <w:tc>
          <w:tcPr>
            <w:tcW w:w="15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Буртник И.С.</w:t>
            </w:r>
          </w:p>
        </w:tc>
      </w:tr>
      <w:tr>
        <w:trPr/>
        <w:tc>
          <w:tcPr>
            <w:tcW w:w="86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Председатель Правления Пенсионного фонда Российской Федерации </w:t>
            </w:r>
          </w:p>
        </w:tc>
        <w:tc>
          <w:tcPr>
            <w:tcW w:w="15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Дроздов А.В.</w:t>
            </w:r>
          </w:p>
        </w:tc>
      </w:tr>
      <w:tr>
        <w:trPr/>
        <w:tc>
          <w:tcPr>
            <w:tcW w:w="86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Координатор Общероссийской общественной организации «Союз пенсионеров России» по обучению пожилых людей компьютерной грамотности </w:t>
            </w:r>
          </w:p>
        </w:tc>
        <w:tc>
          <w:tcPr>
            <w:tcW w:w="15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Клоницкий В.И.</w:t>
            </w:r>
          </w:p>
        </w:tc>
      </w:tr>
      <w:tr>
        <w:trPr/>
        <w:tc>
          <w:tcPr>
            <w:tcW w:w="86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Директор Департамента развития отрасли информационных технологий Министерства связи и массовых коммуникаций Российской Федерации </w:t>
            </w:r>
          </w:p>
        </w:tc>
        <w:tc>
          <w:tcPr>
            <w:tcW w:w="15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Ковнир Е.В.</w:t>
            </w:r>
          </w:p>
        </w:tc>
      </w:tr>
      <w:tr>
        <w:trPr/>
        <w:tc>
          <w:tcPr>
            <w:tcW w:w="86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директора Департамента управления делами Министерства труда и социальной защиты Российской Федерации </w:t>
            </w:r>
          </w:p>
        </w:tc>
        <w:tc>
          <w:tcPr>
            <w:tcW w:w="15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Комаров А.А.</w:t>
            </w:r>
          </w:p>
        </w:tc>
      </w:tr>
      <w:tr>
        <w:trPr/>
        <w:tc>
          <w:tcPr>
            <w:tcW w:w="86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Генеральный директор благотворительного фонда Елены и Геннадия Тимченко </w:t>
            </w:r>
          </w:p>
        </w:tc>
        <w:tc>
          <w:tcPr>
            <w:tcW w:w="15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Морозова М.А.</w:t>
            </w:r>
          </w:p>
        </w:tc>
      </w:tr>
      <w:tr>
        <w:trPr/>
        <w:tc>
          <w:tcPr>
            <w:tcW w:w="86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Председатель Комитета Совета Федерации по социальной политике </w:t>
            </w:r>
          </w:p>
        </w:tc>
        <w:tc>
          <w:tcPr>
            <w:tcW w:w="15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Рязанский В.В.</w:t>
            </w:r>
          </w:p>
        </w:tc>
      </w:tr>
      <w:tr>
        <w:trPr/>
        <w:tc>
          <w:tcPr>
            <w:tcW w:w="86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директора Департамента комплексного анализа и прогнозирования Министерства труда и социальной защиты Российской Федерации </w:t>
            </w:r>
          </w:p>
        </w:tc>
        <w:tc>
          <w:tcPr>
            <w:tcW w:w="15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Рахматуллин В.Д.</w:t>
            </w:r>
          </w:p>
        </w:tc>
      </w:tr>
      <w:tr>
        <w:trPr/>
        <w:tc>
          <w:tcPr>
            <w:tcW w:w="86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Руководитель программ благотворительного фонда Елены и Геннадия Тимченко </w:t>
            </w:r>
          </w:p>
        </w:tc>
        <w:tc>
          <w:tcPr>
            <w:tcW w:w="15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Самородов В.Ю.</w:t>
            </w:r>
          </w:p>
        </w:tc>
      </w:tr>
      <w:tr>
        <w:trPr/>
        <w:tc>
          <w:tcPr>
            <w:tcW w:w="86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первого заместителя председателя правления Пенсионного фонда Российской Федерации</w:t>
            </w:r>
          </w:p>
        </w:tc>
        <w:tc>
          <w:tcPr>
            <w:tcW w:w="15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Сидоренко А.С.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