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28 февраля 2015 г.</w:t>
      </w:r>
    </w:p>
    <w:p>
      <w:pPr>
        <w:pStyle w:val="Heading2"/>
        <w:spacing w:before="200" w:after="120"/>
        <w:rPr/>
      </w:pPr>
      <w:r>
        <w:rPr/>
        <w:t>«Проект плана мероприятий первого этапа реализации Концепции государственной семейной политики в Российской Федерации на период до 2025 года на 2015-2018 годы»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