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№3 от 28 апреля 2015 г.</w:t>
      </w:r>
    </w:p>
    <w:p>
      <w:pPr>
        <w:pStyle w:val="Heading2"/>
        <w:rPr/>
      </w:pPr>
      <w:r>
        <w:rPr/>
        <w:t>«Заседания рабочей группы по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(приказ Минтруда России от 2 сентября 2014 г. № 601) »</w:t>
      </w:r>
    </w:p>
    <w:p>
      <w:pPr>
        <w:pStyle w:val="TextBody"/>
        <w:rPr>
          <w:u w:val="single"/>
        </w:rPr>
      </w:pPr>
      <w:r>
        <w:rPr>
          <w:u w:val="single"/>
        </w:rPr>
        <w:t xml:space="preserve">Присутствовали: 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8328"/>
        <w:gridCol w:w="1877"/>
      </w:tblGrid>
      <w:tr>
        <w:trPr/>
        <w:tc>
          <w:tcPr>
            <w:tcW w:w="832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группы:</w:t>
            </w:r>
          </w:p>
        </w:tc>
        <w:tc>
          <w:tcPr>
            <w:tcW w:w="18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Д.Э.Гришанков</w:t>
            </w:r>
          </w:p>
          <w:p>
            <w:pPr>
              <w:pStyle w:val="TableContents"/>
              <w:rPr/>
            </w:pPr>
            <w:r>
              <w:rPr/>
              <w:t>Н.Е.Дмитриева</w:t>
            </w:r>
          </w:p>
          <w:p>
            <w:pPr>
              <w:pStyle w:val="TableContents"/>
              <w:rPr/>
            </w:pPr>
            <w:r>
              <w:rPr/>
              <w:t xml:space="preserve">Ю.А.Жулев </w:t>
            </w:r>
          </w:p>
          <w:p>
            <w:pPr>
              <w:pStyle w:val="TableContents"/>
              <w:rPr/>
            </w:pPr>
            <w:r>
              <w:rPr/>
              <w:t xml:space="preserve">Л.Г.Рагозина </w:t>
            </w:r>
          </w:p>
          <w:p>
            <w:pPr>
              <w:pStyle w:val="TableContents"/>
              <w:rPr/>
            </w:pPr>
            <w:r>
              <w:rPr/>
              <w:t>А.В.Хамардюк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Е.Е.Чернякова</w:t>
            </w:r>
          </w:p>
        </w:tc>
      </w:tr>
      <w:tr>
        <w:trPr/>
        <w:tc>
          <w:tcPr>
            <w:tcW w:w="832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общественных и некоммерческих организаций:</w:t>
            </w:r>
          </w:p>
        </w:tc>
        <w:tc>
          <w:tcPr>
            <w:tcW w:w="18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2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советник директора направления «Социальные проекты» Агентства стратегических инициатив по продвижению новых проектов </w:t>
            </w:r>
          </w:p>
        </w:tc>
        <w:tc>
          <w:tcPr>
            <w:tcW w:w="18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А.Г.Асланян</w:t>
            </w:r>
          </w:p>
        </w:tc>
      </w:tr>
      <w:tr>
        <w:trPr/>
        <w:tc>
          <w:tcPr>
            <w:tcW w:w="832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исполнительный директор Общероссийской общественной организации «Союз социальных педагогов и социальных работников» </w:t>
            </w:r>
          </w:p>
        </w:tc>
        <w:tc>
          <w:tcPr>
            <w:tcW w:w="18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М.А.Ильина</w:t>
            </w:r>
          </w:p>
        </w:tc>
      </w:tr>
      <w:tr>
        <w:trPr/>
        <w:tc>
          <w:tcPr>
            <w:tcW w:w="832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директора Центра независимого мониторинга исполнения указов Президента Российской Федерации «Народная экспертиза» ОНФ </w:t>
            </w:r>
          </w:p>
        </w:tc>
        <w:tc>
          <w:tcPr>
            <w:tcW w:w="18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Т.В.Миронова</w:t>
            </w:r>
          </w:p>
        </w:tc>
      </w:tr>
      <w:tr>
        <w:trPr/>
        <w:tc>
          <w:tcPr>
            <w:tcW w:w="832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федеральных органов исполнительной власти, научных организаций:</w:t>
            </w:r>
          </w:p>
        </w:tc>
        <w:tc>
          <w:tcPr>
            <w:tcW w:w="187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И.О.Белов</w:t>
            </w:r>
          </w:p>
          <w:p>
            <w:pPr>
              <w:pStyle w:val="TableContents"/>
              <w:rPr/>
            </w:pPr>
            <w:r>
              <w:rPr/>
              <w:t>С.С.Бирюкова</w:t>
            </w:r>
          </w:p>
          <w:p>
            <w:pPr>
              <w:pStyle w:val="TableContents"/>
              <w:rPr/>
            </w:pPr>
            <w:r>
              <w:rPr/>
              <w:t xml:space="preserve">Г.Н.Григорьянц </w:t>
            </w:r>
          </w:p>
          <w:p>
            <w:pPr>
              <w:pStyle w:val="TableContents"/>
              <w:rPr/>
            </w:pPr>
            <w:r>
              <w:rPr/>
              <w:t>Е.Б.Лямина</w:t>
            </w:r>
          </w:p>
          <w:p>
            <w:pPr>
              <w:pStyle w:val="TableContents"/>
              <w:rPr/>
            </w:pPr>
            <w:r>
              <w:rPr/>
              <w:t>Д.Н.Манаков</w:t>
            </w:r>
          </w:p>
          <w:p>
            <w:pPr>
              <w:pStyle w:val="TableContents"/>
              <w:rPr/>
            </w:pPr>
            <w:r>
              <w:rPr/>
              <w:t>Ю.А.Сазонкина</w:t>
            </w:r>
          </w:p>
          <w:p>
            <w:pPr>
              <w:pStyle w:val="TableContents"/>
              <w:rPr/>
            </w:pPr>
            <w:r>
              <w:rPr/>
              <w:t>Д.В.Саламатин</w:t>
            </w:r>
          </w:p>
          <w:p>
            <w:pPr>
              <w:pStyle w:val="TableContents"/>
              <w:rPr/>
            </w:pPr>
            <w:r>
              <w:rPr/>
              <w:t>Н.Н.Скороходова</w:t>
            </w:r>
          </w:p>
          <w:p>
            <w:pPr>
              <w:pStyle w:val="TableContents"/>
              <w:rPr/>
            </w:pPr>
            <w:r>
              <w:rPr/>
              <w:t>С.А.Скрипкина</w:t>
            </w:r>
          </w:p>
          <w:p>
            <w:pPr>
              <w:pStyle w:val="TableContents"/>
              <w:rPr/>
            </w:pPr>
            <w:r>
              <w:rPr/>
              <w:t>Т.С.Староверова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И.М.Степанов</w:t>
            </w:r>
          </w:p>
        </w:tc>
      </w:tr>
      <w:tr>
        <w:trPr/>
        <w:tc>
          <w:tcPr>
            <w:tcW w:w="832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7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328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77" w:type="dxa"/>
            <w:vMerge w:val="continue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rPr/>
      </w:pPr>
      <w:r>
        <w:rPr/>
        <w:t>I. О проекте приказа Минфина России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</w:p>
    <w:p>
      <w:pPr>
        <w:pStyle w:val="TextBody"/>
        <w:rPr/>
      </w:pPr>
      <w:r>
        <w:rPr/>
        <w:t>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jc w:val="center"/>
        <w:rPr/>
      </w:pPr>
      <w:r>
        <w:rPr/>
        <w:t xml:space="preserve">(Ельцова, Чернякова, Гришанков, Дмитриева, Жулев, Миронова, Рагозина, Степанов, Хамардюк, Григорьянц) </w:t>
      </w:r>
    </w:p>
    <w:p>
      <w:pPr>
        <w:pStyle w:val="TextBody"/>
        <w:rPr/>
      </w:pPr>
      <w:r>
        <w:rPr/>
        <w:t>РЕШИЛИ:</w:t>
      </w:r>
    </w:p>
    <w:p>
      <w:pPr>
        <w:pStyle w:val="TextBody"/>
        <w:rPr/>
      </w:pPr>
      <w:r>
        <w:rPr/>
        <w:t xml:space="preserve">1. Принять к сведению информацию Минтруда России о подготовке нормативных правовых актов по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 </w:t>
      </w:r>
    </w:p>
    <w:p>
      <w:pPr>
        <w:pStyle w:val="TextBody"/>
        <w:rPr/>
      </w:pPr>
      <w:r>
        <w:rPr/>
        <w:t>2. Принять к сведению информацию Минфина России об организации официального сайта по размещению информации о государственных (муниципальных) учреждениях в сети «Интернет» (</w:t>
      </w:r>
      <w:hyperlink r:id="rId2">
        <w:r>
          <w:rPr>
            <w:rStyle w:val="InternetLink"/>
          </w:rPr>
          <w:t>www.bus.gov.ru</w:t>
        </w:r>
      </w:hyperlink>
      <w:r>
        <w:rPr/>
        <w:t>) для размещения на нем информации о результатах независимой оценки качества оказания услуг и доработке соответствующего функционала с учетом состава информации и порядка ее размещения, предусмотренных в проекте приказа Минфина России по данному вопросу.</w:t>
      </w:r>
    </w:p>
    <w:p>
      <w:pPr>
        <w:pStyle w:val="TextBody"/>
        <w:rPr/>
      </w:pPr>
      <w:r>
        <w:rPr/>
        <w:t xml:space="preserve">3. Департаменту комплексного анализа и прогнозирования (В.Ф.Колбанову) разместить презентацию о размещении информации о результатах независимой оценки качества оказания услуг на </w:t>
      </w:r>
      <w:hyperlink r:id="rId3">
        <w:r>
          <w:rPr>
            <w:rStyle w:val="InternetLink"/>
          </w:rPr>
          <w:t>www.bus.gov.ru</w:t>
        </w:r>
      </w:hyperlink>
      <w:r>
        <w:rPr/>
        <w:t xml:space="preserve"> на официальном сайте Минтруда России в разделе Независимая система оценки качества //Файлы для загрузки.</w:t>
      </w:r>
    </w:p>
    <w:p>
      <w:pPr>
        <w:pStyle w:val="TextBody"/>
        <w:rPr/>
      </w:pPr>
      <w:r>
        <w:rPr/>
        <w:t xml:space="preserve">4. Членам рабочей группы направить предложения по вопросам размещения информации о результатах независимой оценки качества оказания услуг на сайте </w:t>
      </w:r>
      <w:hyperlink r:id="rId4">
        <w:r>
          <w:rPr>
            <w:rStyle w:val="InternetLink"/>
          </w:rPr>
          <w:t>www.bus.gov.ru</w:t>
        </w:r>
      </w:hyperlink>
      <w:r>
        <w:rPr/>
        <w:t xml:space="preserve"> в Минтруд России до 15 мая 2015 г. 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 xml:space="preserve">труда и социальной защиты </w:t>
        <w:br/>
        <w:t xml:space="preserve">Российской Федерации, </w:t>
        <w:br/>
        <w:t xml:space="preserve">руководитель рабочей группы </w:t>
        <w:br/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