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№19 от 21 мая 2015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rStyle w:val="StrongEmphasis"/>
          <w:u w:val="single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81"/>
        <w:gridCol w:w="95"/>
        <w:gridCol w:w="6929"/>
      </w:tblGrid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Статс-секретарь–заместитель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А.Н. Пудов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А.Н. Дашкина, М.В. Довгялло, В.В. Елизаров, С.П. Железнов, Д.И. Карабанов, А.М. Колин, С.В. Кривенко, Н.Н. Кузьмина, Е.А. Куликов, М.А. Морозова, М.В. Москвина, С.Г. Некрасов, Л.Н. Овчарова, А.М. Окуньков, Л.Г. Рагозина, С.И. Рыбальченко, О.В. Рысев, М.Б. Соколова, Е.Н. Феоктистова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 Воронин, И.М. Игнатьев, М.С. Исянова, В.Ф. Колбанов, И.Г. Максимова, М.В. Ушакова, Л.Ю. Чикмачева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Пенсионного фонда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С.А. Афанасьев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Фонда социального страхования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Э.А. Долганова, А.Г. Кошелев, Т.В. Лотоцкая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Института социального анализа и прогнозирования РАНХиГС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Ю.М. Горлин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Исполкома Общероссийского народного фронта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Н.А. Береговая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Уполномоченного по правам человека в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В.А. Нелюбин</w:t>
            </w:r>
          </w:p>
        </w:tc>
      </w:tr>
      <w:tr>
        <w:trPr/>
        <w:tc>
          <w:tcPr>
            <w:tcW w:w="31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- 9 человек)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роли Общественных советов в формировании системы взаимодействия ФОИВ с референтными группами и новом порядке формирования (и ротации) Общественных Советов при ФОИВ</w:t>
      </w:r>
    </w:p>
    <w:p>
      <w:pPr>
        <w:pStyle w:val="TextBody"/>
        <w:rPr/>
      </w:pPr>
      <w:r>
        <w:rPr/>
        <w:t>1. Принять к сведению информацию председателя Совета Е.А. Тополевой-Солдуновой об итогах конференции, состоявшейся 28 апреля 2015 года на площадке НИУ «Высшая школа экономики», которая была посвящена формированию системы взаимодействия ФОИВ с соответствующими референтными группами, в том числе новой системе формирования общественных советов при ФОИВ.</w:t>
      </w:r>
    </w:p>
    <w:p>
      <w:pPr>
        <w:pStyle w:val="TextBody"/>
        <w:rPr/>
      </w:pPr>
      <w:r>
        <w:rPr/>
        <w:t>2. Обратить внимание на то, что итоговые документы, регламентирующие порядок формирования и функционирования общественных советов при ФОИВ, находятся в стадии разработки, в связи с чем в настоящее время отсутствует возможность осуществить ротацию или сформировать Совет нового созыва.</w:t>
      </w:r>
    </w:p>
    <w:p>
      <w:pPr>
        <w:pStyle w:val="TextBody"/>
        <w:rPr/>
      </w:pPr>
      <w:r>
        <w:rPr/>
        <w:t>3. Отметить значимую роль, которую играют общественные советы при взаимодействии ФОИВ с референтными группами, а также важность правильного формирования состава общественных советов (в общественные советы при ФОИВ должны входить представители всех профильных референтных групп, что позволит рассматривать документы по ключевым направлениям деятельности ФОИВ).</w:t>
      </w:r>
    </w:p>
    <w:p>
      <w:pPr>
        <w:pStyle w:val="TextBody"/>
        <w:rPr/>
      </w:pPr>
      <w:r>
        <w:rPr>
          <w:rStyle w:val="StrongEmphasis"/>
        </w:rPr>
        <w:t>II.О подходах к вопросу изменения пенсионного возраста в Российской Федерации</w:t>
      </w:r>
    </w:p>
    <w:p>
      <w:pPr>
        <w:pStyle w:val="TextBody"/>
        <w:rPr/>
      </w:pPr>
      <w:r>
        <w:rPr/>
        <w:t>1. Принять к сведению доклад Заместителя директора Института социального анализа и прогнозирования РАНХиГС Ю.М. Горлина о подходах к вопросу изменения пенсионного возраста в Российской Федерации.</w:t>
      </w:r>
    </w:p>
    <w:p>
      <w:pPr>
        <w:pStyle w:val="TextBody"/>
        <w:rPr/>
      </w:pPr>
      <w:r>
        <w:rPr/>
        <w:t>2. Отметить, что обсуждение подходов к вопросу изменения пенсионного возраста в Российской Федерации является важной темой для Совета.</w:t>
      </w:r>
    </w:p>
    <w:p>
      <w:pPr>
        <w:pStyle w:val="TextBody"/>
        <w:rPr/>
      </w:pPr>
      <w:r>
        <w:rPr/>
        <w:t>3. Членам Совета провести консультации с референтными группами по рассматриваемому вопросу и представить на рассмотрение Совета мнения, исследования и точки зрения соответствующих референтных групп.</w:t>
      </w:r>
    </w:p>
    <w:p>
      <w:pPr>
        <w:pStyle w:val="TextBody"/>
        <w:rPr/>
      </w:pPr>
      <w:r>
        <w:rPr/>
        <w:t>4. Предложить Пенсионному фонду Российской Федерации (ПФР) подготовить информацию о проведенных (а также о планируемых) исследованиях в областях, связанных с вопросом изменения пенсионного возраста в Российской Федерации.</w:t>
      </w:r>
    </w:p>
    <w:p>
      <w:pPr>
        <w:pStyle w:val="TextBody"/>
        <w:rPr/>
      </w:pPr>
      <w:r>
        <w:rPr/>
        <w:t>5. Обратиться в Открытое правительство с просьбой заказать научную (аналитическую) работу, которая должна включать в себя сбор, обобщение и свод информации в отношении существующих позиций (исследований, мнений, точек зрения) по данному вопросу с последующим представлением результатов указанной работы на рассмотрение Совета.</w:t>
      </w:r>
    </w:p>
    <w:p>
      <w:pPr>
        <w:pStyle w:val="TextBody"/>
        <w:rPr/>
      </w:pPr>
      <w:r>
        <w:rPr/>
        <w:t>Рекомендовать Открытому правительству согласовать с Советом техническое задание к указанной выше аналитической работе.</w:t>
      </w:r>
    </w:p>
    <w:p>
      <w:pPr>
        <w:pStyle w:val="TextBody"/>
        <w:rPr/>
      </w:pPr>
      <w:r>
        <w:rPr/>
        <w:t>6. Обсудить рассматриваемый вопрос на отдельном заседании Совета по мере его готовности к обсуждению.</w:t>
      </w:r>
    </w:p>
    <w:p>
      <w:pPr>
        <w:pStyle w:val="TextBody"/>
        <w:rPr/>
      </w:pPr>
      <w:r>
        <w:rPr>
          <w:rStyle w:val="StrongEmphasis"/>
        </w:rPr>
        <w:t>III. О проекте федерального закона «Об особенностях выплаты пенсий работающим пенсионерам»</w:t>
      </w:r>
    </w:p>
    <w:p>
      <w:pPr>
        <w:pStyle w:val="TextBody"/>
        <w:rPr/>
      </w:pPr>
      <w:r>
        <w:rPr/>
        <w:t>1. Принять к сведению доклад Статс-секретаря – заместителя Министра труда и социальной защиты Российской Федерации А.Н. Пудова по данному вопросу.</w:t>
      </w:r>
    </w:p>
    <w:p>
      <w:pPr>
        <w:pStyle w:val="TextBody"/>
        <w:rPr/>
      </w:pPr>
      <w:r>
        <w:rPr/>
        <w:t>2. Не поддерживать представленный проект федерального закона.</w:t>
      </w:r>
    </w:p>
    <w:p>
      <w:pPr>
        <w:pStyle w:val="TextBody"/>
        <w:rPr/>
      </w:pPr>
      <w:r>
        <w:rPr/>
        <w:t>3. Запросить у Минтруда России и ПФР уточненную информацию: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численности работающих пенсионеров с годовым доходом, превышающим 1 млн. руб., по итогам 2014 года;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уточненный прогноз объема сокращения расходов федерального бюджета в на выплату пенсий при условии прекращения выплаты страховой пенсии (включая фиксированную выплату к страховой пенсии и повышений фиксированной выплаты к страховой пенсии) работающим пенсионерам с годовым доходом, превышающим 1 млн. руб., в 2016, 2017 и 2018 годах. </w:t>
      </w:r>
    </w:p>
    <w:p>
      <w:pPr>
        <w:pStyle w:val="TextBody"/>
        <w:rPr/>
      </w:pPr>
      <w:r>
        <w:rPr>
          <w:rStyle w:val="StrongEmphasis"/>
        </w:rPr>
        <w:t>IV. О проекте федерального закона «О внесении изменений в отдельные законодательные акты Российской Федерации о страховых взносах по вопросам администрирования страховых взносов»</w:t>
      </w:r>
    </w:p>
    <w:p>
      <w:pPr>
        <w:pStyle w:val="TextBody"/>
        <w:rPr/>
      </w:pPr>
      <w:r>
        <w:rPr/>
        <w:t>1. Принять к сведению доклад Директора Департамента развития социального страхования Минтруда России Л.Ю. Чикмачевой в отношении рассматриваемого вопроса.</w:t>
      </w:r>
    </w:p>
    <w:p>
      <w:pPr>
        <w:pStyle w:val="TextBody"/>
        <w:rPr/>
      </w:pPr>
      <w:r>
        <w:rPr/>
        <w:t>2. Поддержать указанный проект федерального закона.</w:t>
      </w:r>
    </w:p>
    <w:p>
      <w:pPr>
        <w:pStyle w:val="TextBody"/>
        <w:rPr/>
      </w:pPr>
      <w:r>
        <w:rPr>
          <w:rStyle w:val="StrongEmphasis"/>
        </w:rPr>
        <w:t>V. О механизме индексации социальных выплат</w:t>
      </w:r>
    </w:p>
    <w:p>
      <w:pPr>
        <w:pStyle w:val="TextBody"/>
        <w:rPr/>
      </w:pPr>
      <w:r>
        <w:rPr/>
        <w:t>1. Принять к сведению информацию Директора Департамента комплексного анализа и прогнозирования Минтруда России В.Ф. Колбанова по указанному вопросу.</w:t>
      </w:r>
    </w:p>
    <w:p>
      <w:pPr>
        <w:pStyle w:val="TextBody"/>
        <w:rPr/>
      </w:pPr>
      <w:r>
        <w:rPr/>
        <w:t>2. Отметить, что индексация социальных пособий и выплат должна осуществляться на уровень не ниже фактической инфляции, а в 2016 году индексация социальных пособий и выплат должна включать прогноз 2016 года, а также инфляционные потери 2015 года.</w:t>
      </w:r>
    </w:p>
    <w:p>
      <w:pPr>
        <w:pStyle w:val="TextBody"/>
        <w:rPr/>
      </w:pPr>
      <w:r>
        <w:rPr/>
        <w:t>3. Вернуться к рассмотрению данного вопроса осенью 2015 года в процессе подготовки и принятия федерального закона «О федеральном бюджете на 2016 год и на плановый период 2017 и 2018 годов».</w:t>
      </w:r>
    </w:p>
    <w:p>
      <w:pPr>
        <w:pStyle w:val="TextBody"/>
        <w:rPr/>
      </w:pPr>
      <w:r>
        <w:rPr/>
        <w:t>4. Обратить внимание, что вопрос индексации пенсионных выплат является вопросом системы социального страхования и не может рассматриваться в качестве инструмента для балансирования федерального бюджета.</w:t>
      </w:r>
    </w:p>
    <w:p>
      <w:pPr>
        <w:pStyle w:val="TextBody"/>
        <w:rPr/>
      </w:pPr>
      <w:r>
        <w:rPr>
          <w:rStyle w:val="StrongEmphasis"/>
        </w:rPr>
        <w:t>VI. Об итогах слушаний в Общественной палате Российской Федерации вопроса обеспечения инвалидов техническими средствами реабилитации (ТСР) в субъектах Российской Федерации</w:t>
      </w:r>
    </w:p>
    <w:p>
      <w:pPr>
        <w:pStyle w:val="TextBody"/>
        <w:rPr/>
      </w:pPr>
      <w:r>
        <w:rPr/>
        <w:t>1. Принять к сведению информацию председателя Совета Е.А. Тополевой-Солдуновой о проведенных в Общественной палате Российской Федерации слушаниях по вопросу обеспечения инвалидов техническими средствами реабилитации (ТСР) в субъектах Российской Федерации.</w:t>
      </w:r>
    </w:p>
    <w:p>
      <w:pPr>
        <w:pStyle w:val="TextBody"/>
        <w:rPr/>
      </w:pPr>
      <w:r>
        <w:rPr/>
        <w:t>2. Поручить Комиссии по социальной поддержке населения (№ 1) осуществить проработку данного вопроса, обратив особое внимание на действующий порядок, регулирующий ценообразование ТСР в рамках конкурсных процедур.</w:t>
      </w:r>
    </w:p>
    <w:p>
      <w:pPr>
        <w:pStyle w:val="TextBody"/>
        <w:rPr/>
      </w:pPr>
      <w:r>
        <w:rPr>
          <w:rStyle w:val="StrongEmphasis"/>
        </w:rPr>
        <w:t xml:space="preserve">VII. Разное </w:t>
      </w:r>
    </w:p>
    <w:p>
      <w:pPr>
        <w:pStyle w:val="TextBody"/>
        <w:rPr/>
      </w:pPr>
      <w:r>
        <w:rPr/>
        <w:t>1. Отметить значимость и актуальность вопроса повышения минимального размера оплаты труда (МРОТ) в Российской Федерации и рассмотреть данный вопрос на одном из ближайших заседаний Совета.</w:t>
      </w:r>
    </w:p>
    <w:p>
      <w:pPr>
        <w:pStyle w:val="TextBody"/>
        <w:rPr/>
      </w:pPr>
      <w:r>
        <w:rPr/>
        <w:t>2. Рекомендовать Рабочей группе по процедурам общественного контроля провести в июне т.г. заседание по вопросу разработки рамочного регламента работы указанной рабочей группы.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