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№343н от 4 июня 2015 г.</w:t>
      </w:r>
    </w:p>
    <w:p>
      <w:pPr>
        <w:pStyle w:val="Heading2"/>
        <w:rPr/>
      </w:pPr>
      <w:r>
        <w:rPr/>
        <w:t>«Об утверждении Типовой региональной программы повышения мобильности трудовых ресурсов»</w:t>
      </w:r>
    </w:p>
    <w:p>
      <w:pPr>
        <w:pStyle w:val="TextBody"/>
        <w:rPr/>
      </w:pPr>
      <w:r>
        <w:rPr/>
        <w:t>В соответствии с пунктом 5.2.169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5952; 2014, № 21, ст. 2710; № 26, ст. 3577; № 29, ст. 4160; № 32, ст. 4499; № 36, ст. 4868; 2015, № 2, ст. 491; № 6, ст. 963; № 16, ст. 2384),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Типовую региональную программу повышения мобильности трудовых ресурсов,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Рекомендовать органам государственной власти субъектов Российской Федерации при разработке региональных программ повышения мобильности трудовых ресурсов руководствоваться Типовой региональной программой повышения мобильности трудовых ресурсов, утвержденной настоящим приказом.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