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№528н от 31 июля 2015 г.</w:t>
      </w:r>
    </w:p>
    <w:p>
      <w:pPr>
        <w:pStyle w:val="Heading2"/>
        <w:rPr/>
      </w:pPr>
      <w:r>
        <w:rPr/>
        <w:t>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 »</w:t>
      </w:r>
    </w:p>
    <w:p>
      <w:pPr>
        <w:pStyle w:val="TextBody"/>
        <w:rPr/>
      </w:pPr>
      <w:r>
        <w:rPr/>
        <w:t>В соответствии с частью первой статьи 11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2000, № 22, ст. 2267;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3475, 3477; № 48, ст. 6160; № 52, ст. 6986; 2014, № 26, ст. 3406; № 30, ст. 4268; № 49, ст. 6928; 2015, № 14, ст. 2008; № 27, ст. 3967) и подпунктом 5.2.98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№ 3. 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4 августа 2008 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 (зарегистрирован Министерством юстиции Российской Федерации 27 августа 2008 г., регистрационный № 12189);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16 марта 2009 г. № 116н «О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№ 379н» (зарегистрирован Министерством юстиции Российской Федерации 31 марта 2009 г., регистрационный № 13625);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6 сентября 2011 г. № 1020н «О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№ 379н» (зарегистрирован Министерством юстиции Российской Федерации 11 октября 2011 г., регистрационный № 22007);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3 июня 2013 г. № 237н «О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№ 379н» (зарегистрирован Министерством юстиции Российской Федерации 26 июня 2013 г., регистрационный № 28902). </w:t>
      </w:r>
    </w:p>
    <w:p>
      <w:pPr>
        <w:pStyle w:val="TextBody"/>
        <w:rPr/>
      </w:pPr>
      <w:r>
        <w:rPr/>
        <w:t>3. Настоящий приказ вступает в силу с 1 января 2016 г.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