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№832 от 2 ноября 2015 г.</w:t>
      </w:r>
    </w:p>
    <w:p>
      <w:pPr>
        <w:pStyle w:val="Heading2"/>
        <w:rPr/>
      </w:pPr>
      <w:r>
        <w:rPr/>
        <w:t>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</w:t>
      </w:r>
    </w:p>
    <w:p>
      <w:pPr>
        <w:pStyle w:val="TextBody"/>
        <w:rPr/>
      </w:pPr>
      <w:r>
        <w:rPr/>
        <w:t>В соответствии с подпунктом «а» пункта 2 перечня поручений Президента Российской Федерации по итогам совещания с членами Правительства Российской Федерации 4 февраля 2015 г., утвержденного 20 февраля 2015 г. № Пр-285, и пунктом 1 Комплекса мер, направленных на совершенствование системы среднего профессионального образования, на 2015–2020 годы, утвержденного распоряжением Правительства Российской Федерации от 3 марта 2015 г. № 349-р,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справочник востребованных на рынке труда, новых и перспективных профессий, в том числе требующих среднего профессионального образования (далее – Справочник),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органам государственной власти, работодателям и иным заинтересованным организациям применять Справочник при формировании и реализации кадровой политики, организации обучения работников.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