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№12-4/10/В-9751 от 23 декабря 2015 г.</w:t>
      </w:r>
    </w:p>
    <w:p>
      <w:pPr>
        <w:pStyle w:val="Heading2"/>
        <w:rPr/>
      </w:pPr>
      <w:r>
        <w:rPr/>
        <w:t>«Высшие органы исполнительной власти субъектов Российской Федерации (по списку)»</w:t>
      </w:r>
    </w:p>
    <w:p>
      <w:pPr>
        <w:pStyle w:val="TextBody"/>
        <w:rPr/>
      </w:pPr>
      <w:r>
        <w:rPr/>
        <w:t>Министерство труда и социальной защиты Российской Федерации направляет на согласование сведения о прогнозных значениях показателей (индикаторов)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2015 г. № 296 (далее – Госпрограмма), в разрезе субъектов Российской Федерации.</w:t>
      </w:r>
    </w:p>
    <w:p>
      <w:pPr>
        <w:pStyle w:val="TextBody"/>
        <w:rPr/>
      </w:pPr>
      <w:r>
        <w:rPr/>
        <w:t>Указанные сведения сформированы на основании информации субъектов Российской Федерации, представленной в Минтруд России в соответствии с запросами Минтруда России от 11 февраля 2015 г. № 12-4/10/П-700 и от 20 апреля 2015 г. № 12-4/10/П-2233.</w:t>
      </w:r>
    </w:p>
    <w:p>
      <w:pPr>
        <w:pStyle w:val="TextBody"/>
        <w:rPr/>
      </w:pPr>
      <w:r>
        <w:rPr/>
        <w:t>Информация по данному вопросу от органов исполнительной власти Тамбовской, Воронежской, Тверской, Новгородской, Астраханской, Самарской, Ульяновской, Иркутской, Магаданской, Кемеровской областей, Республики Дагестан, Республики Ингушетия, Ставропольского края, Республики Татарстан, Чувашской Республики, Камчатского края, Забайкальского края, Хабаровского края, Чукотского автономного округа, Еврейской автономной области в Минтруд России не поступала.</w:t>
      </w:r>
    </w:p>
    <w:p>
      <w:pPr>
        <w:pStyle w:val="TextBody"/>
        <w:rPr/>
      </w:pPr>
      <w:r>
        <w:rPr/>
        <w:t>Поскольку сфера реализации Госпрограммы отнесена к предметам совместного ведения Российской Федерации и субъектов Российской Федерации просим рассмотреть обобщенные материалы и представить свои замечания и предложения.</w:t>
      </w:r>
    </w:p>
    <w:p>
      <w:pPr>
        <w:pStyle w:val="TextBody"/>
        <w:rPr/>
      </w:pPr>
      <w:r>
        <w:rPr/>
        <w:t>Одновременно информируем, что начиная с 2016 года, оценку реализации мероприятий Госпрограммы планируется производить, в том числе, с использованием следующих показателей, прогнозные значения которых предусматриваются в разрезе субъектов Российской Федерации:</w:t>
      </w:r>
    </w:p>
    <w:p>
      <w:pPr>
        <w:pStyle w:val="TextBody"/>
        <w:numPr>
          <w:ilvl w:val="0"/>
          <w:numId w:val="1"/>
        </w:numPr>
        <w:tabs>
          <w:tab w:val="left" w:pos="0" w:leader="none"/>
        </w:tabs>
        <w:spacing w:before="0" w:after="0"/>
        <w:ind w:left="707" w:hanging="283"/>
        <w:rPr/>
      </w:pPr>
      <w:r>
        <w:rPr/>
        <w:t xml:space="preserve">«Численность населения с денежными доходами ниже величины прожиточного минимума в процентах от общей численности населения»; </w:t>
      </w:r>
    </w:p>
    <w:p>
      <w:pPr>
        <w:pStyle w:val="TextBody"/>
        <w:numPr>
          <w:ilvl w:val="0"/>
          <w:numId w:val="1"/>
        </w:numPr>
        <w:tabs>
          <w:tab w:val="left" w:pos="0" w:leader="none"/>
        </w:tabs>
        <w:spacing w:before="0" w:after="0"/>
        <w:ind w:left="707" w:hanging="283"/>
        <w:rPr/>
      </w:pPr>
      <w:r>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p>
      <w:pPr>
        <w:pStyle w:val="TextBody"/>
        <w:numPr>
          <w:ilvl w:val="0"/>
          <w:numId w:val="1"/>
        </w:numPr>
        <w:tabs>
          <w:tab w:val="left" w:pos="0" w:leader="none"/>
        </w:tabs>
        <w:spacing w:before="0" w:after="0"/>
        <w:ind w:left="707" w:hanging="283"/>
        <w:rPr/>
      </w:pPr>
      <w:r>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w:t>
      </w:r>
    </w:p>
    <w:p>
      <w:pPr>
        <w:pStyle w:val="TextBody"/>
        <w:numPr>
          <w:ilvl w:val="0"/>
          <w:numId w:val="1"/>
        </w:numPr>
        <w:tabs>
          <w:tab w:val="left" w:pos="0" w:leader="none"/>
        </w:tabs>
        <w:spacing w:before="0" w:after="0"/>
        <w:ind w:left="707" w:hanging="283"/>
        <w:rPr/>
      </w:pPr>
      <w:r>
        <w:rPr/>
        <w:t xml:space="preserve">«Отношение средней заработной платы социальных работников, включая социальных работников медицинских и образовательных организаций, со средней заработной платой в регионе»; </w:t>
      </w:r>
    </w:p>
    <w:p>
      <w:pPr>
        <w:pStyle w:val="TextBody"/>
        <w:numPr>
          <w:ilvl w:val="0"/>
          <w:numId w:val="1"/>
        </w:numPr>
        <w:tabs>
          <w:tab w:val="left" w:pos="0" w:leader="none"/>
        </w:tabs>
        <w:spacing w:before="0" w:after="0"/>
        <w:ind w:left="707" w:hanging="283"/>
        <w:rPr/>
      </w:pPr>
      <w:r>
        <w:rPr/>
        <w:t xml:space="preserve">«Удельный вес учреждений социального обслуживания, основанных на иных формах собственности, от общего количества учреждений социального обслуживания всех форм собственности»; </w:t>
      </w:r>
    </w:p>
    <w:p>
      <w:pPr>
        <w:pStyle w:val="TextBody"/>
        <w:numPr>
          <w:ilvl w:val="0"/>
          <w:numId w:val="1"/>
        </w:numPr>
        <w:tabs>
          <w:tab w:val="left" w:pos="0" w:leader="none"/>
        </w:tabs>
        <w:spacing w:before="0" w:after="0"/>
        <w:ind w:left="707" w:hanging="283"/>
        <w:rPr/>
      </w:pPr>
      <w:r>
        <w:rPr/>
        <w:t xml:space="preserve">«Количество новых зданий стационарных учреждений социального обслуживания населения, построенных в рамках реализации инвестиционных проектов»; </w:t>
      </w:r>
    </w:p>
    <w:p>
      <w:pPr>
        <w:pStyle w:val="TextBody"/>
        <w:numPr>
          <w:ilvl w:val="0"/>
          <w:numId w:val="1"/>
        </w:numPr>
        <w:tabs>
          <w:tab w:val="left" w:pos="0" w:leader="none"/>
        </w:tabs>
        <w:spacing w:before="0" w:after="0"/>
        <w:ind w:left="707" w:hanging="283"/>
        <w:rPr/>
      </w:pPr>
      <w:r>
        <w:rPr/>
        <w:t xml:space="preserve">«Количество модернизированных и (или) прошедших реконструкцию зданий (сооружений) социального обслуживания населения, прошедших модернизацию в рамках реализации инвестиционных проектов в год»; </w:t>
      </w:r>
    </w:p>
    <w:p>
      <w:pPr>
        <w:pStyle w:val="TextBody"/>
        <w:numPr>
          <w:ilvl w:val="0"/>
          <w:numId w:val="1"/>
        </w:numPr>
        <w:tabs>
          <w:tab w:val="left" w:pos="0" w:leader="none"/>
        </w:tabs>
        <w:spacing w:before="0" w:after="0"/>
        <w:ind w:left="707" w:hanging="283"/>
        <w:rPr/>
      </w:pPr>
      <w:r>
        <w:rPr/>
        <w:t xml:space="preserve">«Количество нового технологического, медицинского и реабилитационного оборудования, приобретенного в рамках реализации инвестиционных проектов в год»; </w:t>
      </w:r>
    </w:p>
    <w:p>
      <w:pPr>
        <w:pStyle w:val="TextBody"/>
        <w:numPr>
          <w:ilvl w:val="0"/>
          <w:numId w:val="1"/>
        </w:numPr>
        <w:tabs>
          <w:tab w:val="left" w:pos="0" w:leader="none"/>
        </w:tabs>
        <w:spacing w:before="0" w:after="0"/>
        <w:ind w:left="707" w:hanging="283"/>
        <w:rPr/>
      </w:pPr>
      <w:r>
        <w:rPr/>
        <w:t xml:space="preserve">«Суммарный коэффициент рождаемости»; </w:t>
      </w:r>
    </w:p>
    <w:p>
      <w:pPr>
        <w:pStyle w:val="TextBody"/>
        <w:numPr>
          <w:ilvl w:val="0"/>
          <w:numId w:val="1"/>
        </w:numPr>
        <w:tabs>
          <w:tab w:val="left" w:pos="0" w:leader="none"/>
        </w:tabs>
        <w:spacing w:before="0" w:after="0"/>
        <w:ind w:left="707" w:hanging="283"/>
        <w:rPr/>
      </w:pPr>
      <w:r>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 606 «О мерах по реализации демографической политики Российской Федерации»; </w:t>
      </w:r>
    </w:p>
    <w:p>
      <w:pPr>
        <w:pStyle w:val="TextBody"/>
        <w:numPr>
          <w:ilvl w:val="0"/>
          <w:numId w:val="1"/>
        </w:numPr>
        <w:tabs>
          <w:tab w:val="left" w:pos="0" w:leader="none"/>
        </w:tabs>
        <w:spacing w:before="0" w:after="0"/>
        <w:ind w:left="707" w:hanging="283"/>
        <w:rPr/>
      </w:pPr>
      <w:r>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p>
      <w:pPr>
        <w:pStyle w:val="TextBody"/>
        <w:numPr>
          <w:ilvl w:val="0"/>
          <w:numId w:val="1"/>
        </w:numPr>
        <w:tabs>
          <w:tab w:val="left" w:pos="0" w:leader="none"/>
        </w:tabs>
        <w:spacing w:before="0" w:after="0"/>
        <w:ind w:left="707" w:hanging="283"/>
        <w:rPr/>
      </w:pPr>
      <w:r>
        <w:rPr/>
        <w:t xml:space="preserve">«Общий объем расходных обязательств субъектов Российской Федерации и муниципальных образований на реализацию мер социальной поддержки пенсионеров и лиц старшего возраста»; </w:t>
      </w:r>
    </w:p>
    <w:p>
      <w:pPr>
        <w:pStyle w:val="TextBody"/>
        <w:numPr>
          <w:ilvl w:val="0"/>
          <w:numId w:val="1"/>
        </w:numPr>
        <w:tabs>
          <w:tab w:val="left" w:pos="0" w:leader="none"/>
        </w:tabs>
        <w:ind w:left="707" w:hanging="283"/>
        <w:rPr/>
      </w:pPr>
      <w:r>
        <w:rPr/>
        <w:t xml:space="preserve">«Численность лиц старших возрастов, получающих регулярные денежные выплаты, предоставляемые за счет средств консолидированных бюджетов субъектов Российской Федерации». </w:t>
      </w:r>
    </w:p>
    <w:p>
      <w:pPr>
        <w:pStyle w:val="TextBody"/>
        <w:rPr/>
      </w:pPr>
      <w:r>
        <w:rPr/>
        <w:t>Указанные показатели разрабатываются в рамках Федерального плана статистических работ, утвержденного распоряжением Правительства Российской Федерации от 6 мая 2008 г. № 671-р или рассчитываются в соответствии с методикой расчета показателей Госпрограммы (таблицы 9, 9 а, прилагаются).</w:t>
      </w:r>
    </w:p>
    <w:p>
      <w:pPr>
        <w:pStyle w:val="TextBody"/>
        <w:rPr/>
      </w:pPr>
      <w:r>
        <w:rPr/>
        <w:t>При подготовке предложений прогнозные значения показателей необходимо указывать в соответствии со значениями аналогичных показателей, предусмотренных в программных документах субъектов Российской Федерации. Значения показателей за 2014 год необходимо привести в соответствие с фактически достигнутыми значениями в указанном периоде.</w:t>
      </w:r>
    </w:p>
    <w:p>
      <w:pPr>
        <w:pStyle w:val="TextBody"/>
        <w:rPr/>
      </w:pPr>
      <w:r>
        <w:rPr/>
        <w:t>С учетом сроков представления проекта Госпрограммы в Правительство Российской Федерации материалы просим представить в кратчайший срок.</w:t>
      </w:r>
    </w:p>
    <w:p>
      <w:pPr>
        <w:pStyle w:val="TextBody"/>
        <w:rPr/>
      </w:pPr>
      <w:r>
        <w:rPr/>
        <w:t>Контактные лица в Минтруде России – начальник отдела по выработке государственной политики в сфере социальной защиты отдельных категорий граждан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Минтруда России - Семенова Лариса Борисовна, тел. 8 (495) 606-17-36, адрес электронной почты: SemenovaLB@rosmintrud.гu; заместитель начальника отдела по выработке государственной политики в сфере социальной защиты отдельных категорий граждан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Минтруда России – Векленко Владимир Николаевич. Телефон 8 (495) 926-99-01 доб. 1246.</w:t>
      </w:r>
    </w:p>
    <w:p>
      <w:pPr>
        <w:pStyle w:val="Heading5"/>
        <w:spacing w:before="120" w:after="60"/>
        <w:rPr/>
      </w:pPr>
      <w:r>
        <w:rPr/>
        <w:t xml:space="preserve">А.В. Вовченко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