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Соглашение от 22 декабря 2016 г.</w:t>
      </w:r>
    </w:p>
    <w:p>
      <w:pPr>
        <w:pStyle w:val="Heading2"/>
        <w:rPr/>
      </w:pPr>
      <w:r>
        <w:rPr/>
        <w:t>«Соглашение о продлении на 2017-2019 годы действия Отраслевого тарифного соглашения по горно-металлургическому комплексу Российской Федерации на 2014-2016 годы и о внесении изменений в его отдельные положения»</w:t>
      </w:r>
    </w:p>
    <w:p>
      <w:pPr>
        <w:pStyle w:val="TextBody"/>
        <w:rPr/>
      </w:pPr>
      <w:r>
        <w:rPr/>
        <w:t>(Зарегистрировано в Роструде 30 декабря 2016 года, регистрационный номер 25/17-19)</w:t>
      </w:r>
    </w:p>
    <w:p>
      <w:pPr>
        <w:pStyle w:val="TextBody"/>
        <w:rPr/>
      </w:pPr>
      <w:r>
        <w:rPr/>
        <w:t>Горно-металлургический профсоюз России (далее - ГМПР) и Общероссийское отраслевое объединение работодателей «Ассоциация промышленников горно-металлургического комплекса России» (далее - АМРОС), руководствуясь статьями 48 и 49 Трудового кодекса Российской Федерации, заключили настоящее Соглашение о нижеследующем:</w:t>
      </w:r>
    </w:p>
    <w:p>
      <w:pPr>
        <w:pStyle w:val="TextBody"/>
        <w:rPr/>
      </w:pPr>
      <w:r>
        <w:rPr/>
        <w:t>1. Продлить на 2017-2019 годы действие Отраслевого тарифного соглашения по горно-металлургическому комплексу Российской Федерации на 2014-2016 годы (далее - ОТС).</w:t>
      </w:r>
    </w:p>
    <w:p>
      <w:pPr>
        <w:pStyle w:val="TextBody"/>
        <w:rPr/>
      </w:pPr>
      <w:r>
        <w:rPr/>
        <w:t>2. В ОТС внести следующие изменения:</w:t>
      </w:r>
    </w:p>
    <w:p>
      <w:pPr>
        <w:pStyle w:val="TextBody"/>
        <w:rPr/>
      </w:pPr>
      <w:r>
        <w:rPr/>
        <w:t>2.1. Абзац первый пункта 1.4.1. изложить в редакции:</w:t>
      </w:r>
    </w:p>
    <w:p>
      <w:pPr>
        <w:pStyle w:val="TextBody"/>
        <w:rPr/>
      </w:pPr>
      <w:r>
        <w:rPr/>
        <w:t>«Соглашение заключено на 2017-2019 годы, раздел 5 «Оплата труда» - на 2017 год (с пересмотром норм раздела на последующие годы в пределах срока действия Соглашения), действует с момента его подписания и до заключения нового Соглашения, но не более трех лет. Действие Соглашения распространяется на работодателей и работников организаций горно-металлургического комплекса, в том числе золотодобывающих, алмазодобывающих, аффинажных, ювелирных и иных организаций, в порядке, установленном законодательством РФ».</w:t>
      </w:r>
    </w:p>
    <w:p>
      <w:pPr>
        <w:pStyle w:val="TextBody"/>
        <w:rPr/>
      </w:pPr>
      <w:r>
        <w:rPr/>
        <w:t>2.2. Пункт 5.5. изложить в редакции:</w:t>
      </w:r>
    </w:p>
    <w:p>
      <w:pPr>
        <w:pStyle w:val="TextBody"/>
        <w:rPr/>
      </w:pPr>
      <w:r>
        <w:rPr/>
        <w:t>«Минимальный размер заработной платы при выполнении работником трудовых обязанностей и отработке месячного баланса рабочего времени не может быть ниже 1,5 прожиточного минимума трудоспособного населения в соответствующем субъекте Российской Федерации.</w:t>
      </w:r>
    </w:p>
    <w:p>
      <w:pPr>
        <w:pStyle w:val="TextBody"/>
        <w:rPr/>
      </w:pPr>
      <w:r>
        <w:rPr/>
        <w:t>Для работников неосновных видов деятельности коллективным договором могут быть установлены иные значения минимальной заработной платы, но не ниже 1,3 прожиточного минимума трудоспособного населения, установленного на федеральном уровне.</w:t>
      </w:r>
    </w:p>
    <w:p>
      <w:pPr>
        <w:pStyle w:val="TextBody"/>
        <w:rPr/>
      </w:pPr>
      <w:r>
        <w:rPr/>
        <w:t>В период действия Соглашения Стороны будут стремиться довести в каждой организации соотношение средней заработной платы с прожиточным минимумом трудоспособного населения в соответствующем субъекте Российской Федерации не ниже четырех, где это ещё не достигнуто».</w:t>
      </w:r>
    </w:p>
    <w:p>
      <w:pPr>
        <w:pStyle w:val="TextBody"/>
        <w:rPr/>
      </w:pPr>
      <w:r>
        <w:rPr/>
        <w:t>2.3. Пункт 5.7. изложить в редакции:</w:t>
      </w:r>
    </w:p>
    <w:p>
      <w:pPr>
        <w:pStyle w:val="TextBody"/>
        <w:rPr/>
      </w:pPr>
      <w:r>
        <w:rPr/>
        <w:t>«Работодатель в текущем году обеспечивает сохранение уровня реального содержания заработной платы, включая индексацию заработной платы предпочтительно за счет увеличения условно-постоянной части зарплаты в связи с ростом потребительских цен на товары и услуги в соответствующем субъекте Российской Федерации.</w:t>
      </w:r>
    </w:p>
    <w:p>
      <w:pPr>
        <w:pStyle w:val="TextBody"/>
        <w:rPr/>
      </w:pPr>
      <w:r>
        <w:rPr/>
        <w:t>Конкретный порядок индексации должен быть установлен коллективным договором или локальным нормативным актом организации, принимаемым в соответствии с действующим законодательством».</w:t>
      </w:r>
    </w:p>
    <w:p>
      <w:pPr>
        <w:pStyle w:val="TextBody"/>
        <w:rPr/>
      </w:pPr>
      <w:r>
        <w:rPr/>
        <w:t>2.4. Пункт 5.9. изложить в редакции:</w:t>
      </w:r>
    </w:p>
    <w:p>
      <w:pPr>
        <w:pStyle w:val="TextBody"/>
        <w:rPr/>
      </w:pPr>
      <w:r>
        <w:rPr/>
        <w:t>«В исключительных случаях, когда экономическое состояние организации не позволяет работодателю обеспечить рост заработной платы в текущем году, работодатель обязан представить мотивированное обоснование в АМРОС и ЦС ГМПР в течение первого полугодия».</w:t>
      </w:r>
    </w:p>
    <w:p>
      <w:pPr>
        <w:pStyle w:val="TextBody"/>
        <w:rPr/>
      </w:pPr>
      <w:r>
        <w:rPr/>
        <w:t>2.5. В пункте 5.14. слова «в размере не ниже одной трехсотой действующей в это время ставки рефинансирования Центрального банка РФ» заменить на слова «в размере не ниже одной сто пятидесятой действующей в это время ключевой ставки Центрального банка Российской Федерации».</w:t>
      </w:r>
    </w:p>
    <w:p>
      <w:pPr>
        <w:pStyle w:val="TextBody"/>
        <w:rPr/>
      </w:pPr>
      <w:r>
        <w:rPr/>
        <w:t>2.6. Пункт 11.2. дополнить абзацем следующего содержания:</w:t>
      </w:r>
    </w:p>
    <w:p>
      <w:pPr>
        <w:pStyle w:val="TextBody"/>
        <w:rPr/>
      </w:pPr>
      <w:r>
        <w:rPr/>
        <w:t>«Уровень реального содержания заработной платы по отрасли в 2017 году считается сохраненным в случае, если темпы роста заработной платы в целом по отрасли равны индексу роста потребительских цен в Российской Федерации».</w:t>
      </w:r>
    </w:p>
    <w:p>
      <w:pPr>
        <w:pStyle w:val="TextBody"/>
        <w:rPr/>
      </w:pPr>
      <w:r>
        <w:rPr/>
        <w:t>3. Настоящее Соглашение вступает в силу с момента подписания.</w:t>
      </w:r>
    </w:p>
    <w:p>
      <w:pPr>
        <w:pStyle w:val="Heading5"/>
        <w:rPr/>
      </w:pPr>
      <w:r>
        <w:rPr/>
        <w:t>Председатель</w:t>
      </w:r>
    </w:p>
    <w:p>
      <w:pPr>
        <w:pStyle w:val="Heading5"/>
        <w:rPr/>
      </w:pPr>
      <w:r>
        <w:rPr/>
        <w:t>горно-металлургического профсоюза России</w:t>
      </w:r>
    </w:p>
    <w:p>
      <w:pPr>
        <w:pStyle w:val="Heading5"/>
        <w:rPr/>
      </w:pPr>
      <w:r>
        <w:rPr/>
        <w:t>А.А. Безымянных</w:t>
      </w:r>
    </w:p>
    <w:p>
      <w:pPr>
        <w:pStyle w:val="Heading5"/>
        <w:rPr/>
      </w:pPr>
      <w:r>
        <w:rPr/>
        <w:t>Исполнительный директор</w:t>
      </w:r>
    </w:p>
    <w:p>
      <w:pPr>
        <w:pStyle w:val="Heading5"/>
        <w:rPr/>
      </w:pPr>
      <w:r>
        <w:rPr/>
        <w:t>Общероссийского отраслевого</w:t>
      </w:r>
    </w:p>
    <w:p>
      <w:pPr>
        <w:pStyle w:val="Heading5"/>
        <w:rPr/>
      </w:pPr>
      <w:r>
        <w:rPr/>
        <w:t>Объединения работодателей</w:t>
      </w:r>
    </w:p>
    <w:p>
      <w:pPr>
        <w:pStyle w:val="Heading5"/>
        <w:rPr/>
      </w:pPr>
      <w:r>
        <w:rPr/>
        <w:t>«Ассоциация промышленников</w:t>
      </w:r>
    </w:p>
    <w:p>
      <w:pPr>
        <w:pStyle w:val="Heading5"/>
        <w:rPr/>
      </w:pPr>
      <w:r>
        <w:rPr/>
        <w:t>горно-металлургического комплекса России»</w:t>
      </w:r>
    </w:p>
    <w:p>
      <w:pPr>
        <w:pStyle w:val="Heading5"/>
        <w:spacing w:before="120" w:after="60"/>
        <w:rPr/>
      </w:pPr>
      <w:r>
        <w:rPr/>
        <w:t>А.М. Окуньков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