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Доклад о реализации Плана деятельности Министерства труда и социальной защиты Российской Федерации на 2016 год и плановый период до 2021 года за 2016 год</w:t>
      </w:r>
    </w:p>
    <w:p>
      <w:pPr>
        <w:pStyle w:val="Heading2"/>
        <w:rPr/>
      </w:pPr>
      <w:r>
        <w:rPr/>
        <w:t>Доклад о реализации Плана деятельности Министерства труда и социальной защиты Российской Федерации на 2016 год и плановый период до 2021 года за 2016 год</w:t>
      </w:r>
    </w:p>
    <w:p>
      <w:pPr>
        <w:pStyle w:val="Heading5"/>
        <w:rPr/>
      </w:pPr>
      <w:r>
        <w:rPr/>
        <w:t xml:space="preserve">Утверждаю </w:t>
      </w:r>
    </w:p>
    <w:p>
      <w:pPr>
        <w:pStyle w:val="Heading5"/>
        <w:rPr/>
      </w:pPr>
      <w:r>
        <w:rPr/>
        <w:t>Министр труда и социальной защиты Российской Федераци М.А.Топилин</w:t>
      </w:r>
    </w:p>
    <w:p>
      <w:pPr>
        <w:pStyle w:val="Heading5"/>
        <w:rPr/>
      </w:pPr>
      <w:r>
        <w:rPr/>
        <w:t>1 марта 2017 г.</w:t>
      </w:r>
    </w:p>
    <w:p>
      <w:pPr>
        <w:pStyle w:val="TextBody"/>
        <w:rPr/>
      </w:pPr>
      <w:r>
        <w:rPr/>
        <w:t>Во исполнение пунктов 16-19 Правил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Федерации, утвержденных постановлением Правительства Российской Федерации от 26 декабря 2015 г. № 1449, Министерство подготовило доклад о реализации Плана деятельности Министерства труда и социальной защиты Российской Федерации на 2016 год и плановый период до 2021 года за 2016 год.</w:t>
      </w:r>
    </w:p>
    <w:p>
      <w:pPr>
        <w:pStyle w:val="TextBody"/>
        <w:rPr/>
      </w:pPr>
      <w:r>
        <w:rPr/>
        <w:t>В отчетном периоде исполнены все мероприятия Плана деятельности, направленные на достижение целей деятельности Минтруда России. Из 31 индикатора направлений, предусмотренных Планом деятельности, в 2016 году достигнуто 17, по 11 – отсутствуют статистические данные, поскольку Федеральным планом статистических работ определены более поздние сроки публикации официальных отчетных данных. Соответствующие комментарии о причинах недостижения целевых показателей Плана в отчетный период приводятся в приложении.</w:t>
      </w:r>
    </w:p>
    <w:p>
      <w:pPr>
        <w:pStyle w:val="TextBody"/>
        <w:rPr/>
      </w:pPr>
      <w:r>
        <w:rPr/>
        <w:t xml:space="preserve">В рамках реализации </w:t>
      </w:r>
      <w:r>
        <w:rPr>
          <w:rStyle w:val="StrongEmphasis"/>
          <w:i/>
        </w:rPr>
        <w:t xml:space="preserve">Цели 1. «Достойный труд, справедливая зарплата» </w:t>
      </w:r>
      <w:r>
        <w:rPr/>
        <w:t>были реализованы следующие значимые мероприятия</w:t>
      </w:r>
      <w:r>
        <w:rPr>
          <w:rStyle w:val="StrongEmphasis"/>
          <w:i/>
        </w:rPr>
        <w:t>:</w:t>
      </w:r>
    </w:p>
    <w:p>
      <w:pPr>
        <w:pStyle w:val="TextBody"/>
        <w:rPr/>
      </w:pPr>
      <w:r>
        <w:rPr/>
        <w:t>для создания механизма независимой оценки уровня профессиональной квалификации, а также условий для стимулирования участия работодателей и работников в ее проведении приняты Федеральные законы от 3 июля 2016 г. № 238-ФЗ «О независимой оценке квалификации», № 239-ФЗ «О внесении изменений в Трудовой кодекс Российской Федерации в связи с принятием Федерального закона «О независимой оценке квалификации» и № 251-ФЗ «О внесении изменений в Налоговый кодекс Российской Федерации в связи с принятием Федерального закона «О независимой оценке квалификации» и нормативные правовые акты для ее функционирования;</w:t>
      </w:r>
    </w:p>
    <w:p>
      <w:pPr>
        <w:pStyle w:val="TextBody"/>
        <w:rPr/>
      </w:pPr>
      <w:r>
        <w:rPr/>
        <w:t>уточнен справочник востребованных на рынке труда, новых и перспективных профессий, в том числе требующих среднего профессионального образования</w:t>
      </w:r>
      <w:r>
        <w:rPr>
          <w:rStyle w:val="StrongEmphasis"/>
          <w:i/>
        </w:rPr>
        <w:t>;</w:t>
      </w:r>
    </w:p>
    <w:p>
      <w:pPr>
        <w:pStyle w:val="TextBody"/>
        <w:rPr/>
      </w:pPr>
      <w:r>
        <w:rPr/>
        <w:t xml:space="preserve">создан информационный интернет-ресурс, в котором размещены данные о профессиях и современных требованиях к квалификации: </w:t>
      </w:r>
      <w:hyperlink r:id="rId2">
        <w:r>
          <w:rPr>
            <w:rStyle w:val="InternetLink"/>
          </w:rPr>
          <w:t>http://spravochnik.rosmintrud.ru</w:t>
        </w:r>
      </w:hyperlink>
      <w:r>
        <w:rPr/>
        <w:t>;</w:t>
      </w:r>
    </w:p>
    <w:p>
      <w:pPr>
        <w:pStyle w:val="TextBody"/>
        <w:rPr/>
      </w:pPr>
      <w:r>
        <w:rPr/>
        <w:t>увеличен минимальный размер оплаты труда;</w:t>
      </w:r>
    </w:p>
    <w:p>
      <w:pPr>
        <w:pStyle w:val="TextBody"/>
        <w:rPr/>
      </w:pPr>
      <w:r>
        <w:rPr/>
        <w:t>установлен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таких учреждений и организаций;</w:t>
      </w:r>
    </w:p>
    <w:p>
      <w:pPr>
        <w:pStyle w:val="TextBody"/>
        <w:rPr/>
      </w:pPr>
      <w:r>
        <w:rPr/>
        <w:t>реализованы дополнительные мероприятия в сфере занятости населения, направленные на снижение напряженности на рынке труда субъектов Российской Федерации;</w:t>
      </w:r>
    </w:p>
    <w:p>
      <w:pPr>
        <w:pStyle w:val="TextBody"/>
        <w:rPr/>
      </w:pPr>
      <w:r>
        <w:rPr/>
        <w:t>осуществлена доработка с учетом опыта функционирования Общероссийской базы вакансий «Работа в России»;</w:t>
      </w:r>
    </w:p>
    <w:p>
      <w:pPr>
        <w:pStyle w:val="TextBody"/>
        <w:rPr/>
      </w:pPr>
      <w:r>
        <w:rPr/>
        <w:t>установлена допустимая доля иностранных работников, используемых хозяйствующими субъектами, осуществляющими деятельность в отдельных видах экономической деятельности на территории Российской Федерации;</w:t>
      </w:r>
    </w:p>
    <w:p>
      <w:pPr>
        <w:pStyle w:val="TextBody"/>
        <w:rPr/>
      </w:pPr>
      <w:r>
        <w:rPr/>
        <w:t>снижена финансовая нагрузка на работодателей за счет распространения процедуры декларирования (спецоценка без измерений) на рабочие места, условия труда на которых по результатам измерений признаны оптимальными или допустимыми;</w:t>
      </w:r>
    </w:p>
    <w:p>
      <w:pPr>
        <w:pStyle w:val="TextBody"/>
        <w:rPr/>
      </w:pPr>
      <w:r>
        <w:rPr/>
        <w:t>актуализированы правила по охране труда в отдельный видах экономической деятельности, которые признаны наиболее травмоопасными в экономике;</w:t>
      </w:r>
    </w:p>
    <w:p>
      <w:pPr>
        <w:pStyle w:val="TextBody"/>
        <w:rPr/>
      </w:pPr>
      <w:r>
        <w:rPr/>
        <w:t>утвержден План мероприятий («дорожная карта») «Обеспечение эффективного контроля за своевременной выплатой заработной платы в субъектах Российской Федерации»;</w:t>
      </w:r>
    </w:p>
    <w:p>
      <w:pPr>
        <w:pStyle w:val="TextBody"/>
        <w:rPr/>
      </w:pPr>
      <w:r>
        <w:rPr/>
        <w:t>повышена ответственность работодателей за нарушения законодательства в части, касающейся оплаты труда.</w:t>
      </w:r>
    </w:p>
    <w:p>
      <w:pPr>
        <w:pStyle w:val="TextBody"/>
        <w:rPr/>
      </w:pPr>
      <w:r>
        <w:rPr/>
        <w:t xml:space="preserve">В части достижения </w:t>
      </w:r>
      <w:r>
        <w:rPr>
          <w:rStyle w:val="StrongEmphasis"/>
          <w:i/>
        </w:rPr>
        <w:t xml:space="preserve">Цели 2. «Достойная пенсия за продолжительный добросовестный труд» </w:t>
      </w:r>
      <w:r>
        <w:rPr/>
        <w:t>приняты решения по возвращению механизма индексации пенсий по фактическому уровню инфляции предыдущего года, осуществлению единовременной денежной выплаты пенсионерам</w:t>
      </w:r>
      <w:r>
        <w:rPr>
          <w:rStyle w:val="StrongEmphasis"/>
          <w:i/>
        </w:rPr>
        <w:t>.</w:t>
      </w:r>
    </w:p>
    <w:p>
      <w:pPr>
        <w:pStyle w:val="TextBody"/>
        <w:rPr/>
      </w:pPr>
      <w:r>
        <w:rPr/>
        <w:t xml:space="preserve">Для достижения </w:t>
      </w:r>
      <w:r>
        <w:rPr>
          <w:rStyle w:val="StrongEmphasis"/>
          <w:i/>
        </w:rPr>
        <w:t xml:space="preserve">Цели 3. «Улучшение демографической ситуации. Семьи с детьми получат государственную поддержку» </w:t>
      </w:r>
      <w:r>
        <w:rPr/>
        <w:t>утверждены:</w:t>
      </w:r>
    </w:p>
    <w:p>
      <w:pPr>
        <w:pStyle w:val="TextBody"/>
        <w:rPr/>
      </w:pPr>
      <w:r>
        <w:rPr/>
        <w:t>Стратегия действий в интересах граждан старшего поколения в Российской Федерации до 2025 года и план мероприятий на 2016-2020 годы по ее реализации;</w:t>
      </w:r>
    </w:p>
    <w:p>
      <w:pPr>
        <w:pStyle w:val="TextBody"/>
        <w:rPr/>
      </w:pPr>
      <w:r>
        <w:rPr/>
        <w:t xml:space="preserve">план мероприятий по реализации в 2016-2020 годах Концепции демографической политики Российской Федерации на период до 2025 года; </w:t>
      </w:r>
    </w:p>
    <w:p>
      <w:pPr>
        <w:pStyle w:val="TextBody"/>
        <w:rPr/>
      </w:pPr>
      <w:r>
        <w:rPr/>
        <w:t>Правила предоставления в 2016 году из федерального бюджета бюджетам субъектов Российской Федерации иных межбюджетных трансфертов на организацию отдыха и оздоровления детей, находящихся в трудной жизненной ситуации, и распределение иных межбюджетных трансфертов, предоставляемых в 2016 году из федерального бюджета бюджетам субъектов Российской Федерации на финансовое обеспечение мероприятий, связанных с отдыхом и оздоровлением детей, находящихся в трудной жизненной ситуации;</w:t>
      </w:r>
    </w:p>
    <w:p>
      <w:pPr>
        <w:pStyle w:val="TextBody"/>
        <w:rPr/>
      </w:pPr>
      <w:r>
        <w:rPr/>
        <w:t>положение и состав Координационного совета при Правительстве Российской Федерации по реализации Национальной стратегии действий в интересах женщин на 2017 - 2022 годы;</w:t>
      </w:r>
    </w:p>
    <w:p>
      <w:pPr>
        <w:pStyle w:val="TextBody"/>
        <w:rPr/>
      </w:pPr>
      <w:r>
        <w:rPr/>
        <w:t>перечень субъектов в отношении которых в 2017 году за счет бюджетных ассигнований федерального бюджета будет осуществляться софинансирование расходных обязательств, возникающих при установлении нуждающимся в поддержке семьям ежемесячной денежной выплаты, предусмотренной пунктом 2 Указа Президента Российской Федерации от 7 мая 2012 г. № 606 «О мерах по реализации демографической политики Российской Федерации» и распределение соответствующих денежных средств.</w:t>
      </w:r>
    </w:p>
    <w:p>
      <w:pPr>
        <w:pStyle w:val="TextBody"/>
        <w:rPr/>
      </w:pPr>
      <w:r>
        <w:rPr/>
        <w:t>Предоставлена возможность получить государственный сертификат на материнский (семейный) капитал, в том числе в форме электронного документа;</w:t>
      </w:r>
    </w:p>
    <w:p>
      <w:pPr>
        <w:pStyle w:val="TextBody"/>
        <w:rPr/>
      </w:pPr>
      <w:r>
        <w:rPr/>
        <w:t>осуществлена единовременная выплата за счет средств материнского (семейного) капитала.</w:t>
      </w:r>
    </w:p>
    <w:p>
      <w:pPr>
        <w:pStyle w:val="TextBody"/>
        <w:rPr/>
      </w:pPr>
      <w:r>
        <w:rPr/>
        <w:t>Подготовлена Национальная стратегия действий в интересах женщин на 2017 - 2022 годы.</w:t>
      </w:r>
    </w:p>
    <w:p>
      <w:pPr>
        <w:pStyle w:val="TextBody"/>
        <w:rPr/>
      </w:pPr>
      <w:r>
        <w:rPr/>
        <w:t xml:space="preserve">В рамках </w:t>
      </w:r>
      <w:r>
        <w:rPr>
          <w:rStyle w:val="StrongEmphasis"/>
          <w:i/>
        </w:rPr>
        <w:t>Цели 4. «Социальная защита приблизится к человеку, социальная поддержка станет адресной»:</w:t>
      </w:r>
    </w:p>
    <w:p>
      <w:pPr>
        <w:pStyle w:val="TextBody"/>
        <w:rPr/>
      </w:pPr>
      <w:r>
        <w:rPr/>
        <w:t>создана рабочая группа по проработке основных подходов к реформированию деятельности психоневрологических интернатов;</w:t>
      </w:r>
    </w:p>
    <w:p>
      <w:pPr>
        <w:pStyle w:val="TextBody"/>
        <w:rPr/>
      </w:pPr>
      <w:r>
        <w:rPr/>
        <w:t>утверждены 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местности;</w:t>
      </w:r>
    </w:p>
    <w:p>
      <w:pPr>
        <w:pStyle w:val="TextBody"/>
        <w:rPr/>
      </w:pPr>
      <w:r>
        <w:rPr/>
        <w:t>утверждены рекомендации по предоставлению социально-медицинских услуг в форме социального обслуживания на дому ветеранам и инвалидам Великой Отечественной войны;</w:t>
      </w:r>
    </w:p>
    <w:p>
      <w:pPr>
        <w:pStyle w:val="TextBody"/>
        <w:rPr/>
      </w:pPr>
      <w:r>
        <w:rPr/>
        <w:t>утвержден Порядок предоставления отдельных мер социальной поддержки гражданам, постоянно проживающим (работающим) на загрязненных радионуклидами территориях;</w:t>
      </w:r>
    </w:p>
    <w:p>
      <w:pPr>
        <w:pStyle w:val="TextBody"/>
        <w:rPr/>
      </w:pPr>
      <w:r>
        <w:rPr/>
        <w:t>утверждена Концепция развития ранней помощи в Российской Федерации до 2020 года и план мероприятий по ее реализации;</w:t>
      </w:r>
    </w:p>
    <w:p>
      <w:pPr>
        <w:pStyle w:val="TextBody"/>
        <w:rPr/>
      </w:pPr>
      <w:r>
        <w:rPr/>
        <w:t>сформирован «Федеральный реестр инвалидов»;</w:t>
      </w:r>
    </w:p>
    <w:p>
      <w:pPr>
        <w:pStyle w:val="TextBody"/>
        <w:rPr/>
      </w:pPr>
      <w:r>
        <w:rPr/>
        <w:t>внесены изменения в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экспертизы.</w:t>
      </w:r>
    </w:p>
    <w:p>
      <w:pPr>
        <w:pStyle w:val="TextBody"/>
        <w:rPr/>
      </w:pPr>
      <w:r>
        <w:rPr/>
        <w:t xml:space="preserve">Для достижения </w:t>
      </w:r>
      <w:r>
        <w:rPr>
          <w:rStyle w:val="StrongEmphasis"/>
          <w:i/>
        </w:rPr>
        <w:t>Цели 5. «Государственная гражданская служба - открыта и профессиональна»:</w:t>
      </w:r>
    </w:p>
    <w:p>
      <w:pPr>
        <w:pStyle w:val="TextBody"/>
        <w:rPr/>
      </w:pPr>
      <w:r>
        <w:rPr/>
        <w:t>определены единые подходы к установлению квалификационных требований для замещения должностей государственной гражданской службы и муниципальной службы;</w:t>
      </w:r>
    </w:p>
    <w:p>
      <w:pPr>
        <w:pStyle w:val="TextBody"/>
        <w:rPr/>
      </w:pPr>
      <w:r>
        <w:rPr/>
        <w:t>государственным служащим, а также лицам, замещающим государственные должности Российской Федерации и субъектов Российской Федерации, муниципальные должности, увеличен возраст для назначения страховой пенсии по старости до 65 лет для мужчин и 63 лет для женщин;</w:t>
      </w:r>
    </w:p>
    <w:p>
      <w:pPr>
        <w:pStyle w:val="TextBody"/>
        <w:rPr/>
      </w:pPr>
      <w:r>
        <w:rPr/>
        <w:t>утверждены Методические рекомендации по стратегическому управлению кадрами государственной гражданской службы Российской Федерации, описывающие порядок формирования кадровых стратегий.</w:t>
      </w:r>
    </w:p>
    <w:p>
      <w:pPr>
        <w:pStyle w:val="TextBody"/>
        <w:rPr/>
      </w:pPr>
      <w:r>
        <w:rPr/>
        <w:t>Подробные сведения о ходе реализации Плана – графика мероприятий Министерства труда и социальной защиты Российской Федерации по реализации документов стратегического планирования на 2016 год и плановый период до 2021 года прилагаются.</w:t>
      </w:r>
    </w:p>
    <w:p>
      <w:pPr>
        <w:pStyle w:val="TextBody"/>
        <w:spacing w:before="0" w:after="283"/>
        <w:rPr/>
      </w:pPr>
      <w:r>
        <w:rPr/>
        <w:t>Доклад о реализации Плана деятельности Министерства одобрен на заседании Общественного совета при Министерстве труда и социальной защиты Российской Федерации 20 февраля 2017 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pravochnik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