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от 2 мая 2017 г.</w:t>
      </w:r>
    </w:p>
    <w:p>
      <w:pPr>
        <w:pStyle w:val="Heading2"/>
        <w:spacing w:before="200" w:after="120"/>
        <w:rPr/>
      </w:pPr>
      <w:r>
        <w:rPr/>
        <w:t>«Отчет о реализации государственной программы Российской Федерации «Доступная среда» на 2011-2020 годы в 2016 году»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