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</w:t>
      </w:r>
    </w:p>
    <w:p>
      <w:pPr>
        <w:pStyle w:val="Heading2"/>
        <w:rPr/>
      </w:pPr>
      <w:r>
        <w:rPr/>
        <w:t>«Об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2015, № 49, ст. 6987; 2016, № 18, ст. 2625; № 24, ст. 3525; 2017, № 5, ст. 813; № 15, ст. 2206; официальный интернет-портал правовой информации www.pravo.gov.ru, 25.07.2017, № 0001201707250008)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Утвердить прилагаемую примерную модель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сопровождение.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