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примерных нормативов обеспеченности субъектов Российской Федерации организациями, предоставляющими реабилитационные и абилитационные услуги инвалидам, в том числе детям-инвалидам</w:t>
      </w:r>
    </w:p>
    <w:p>
      <w:pPr>
        <w:pStyle w:val="Heading2"/>
        <w:rPr/>
      </w:pPr>
      <w:r>
        <w:rPr/>
        <w:t>«Об утверждении примерных нормативов обеспеченности субъектов Российской Федерации организациями, предоставляющими реабилитационные и абилитационные услуги инвалидам, в том числе детям-инвалидам»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пунктом 7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 (Собрание законодательства Российской Федерации, 2015, № 49, ст. 6987; 2016, № 18, ст. 2625; № 24, ст. 3525; 2017, № 5 ст. 813; № 15, ст. 2206) 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>Утвердить примерные нормативы обеспеченности субъектов Российской Федерации организациями, предоставляющими реабилитационные и абилитационные услуги инвалидам, в том числе детям-инвалидам.</w:t>
      </w:r>
    </w:p>
    <w:p>
      <w:pPr>
        <w:pStyle w:val="TextBody"/>
        <w:rPr/>
      </w:pPr>
      <w:r>
        <w:rPr/>
        <w:t xml:space="preserve">Министр М.А. Топилин 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