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Протокол № 15 от 3 октября 2017 г. </w:t>
      </w:r>
    </w:p>
    <w:p>
      <w:pPr>
        <w:pStyle w:val="Heading2"/>
        <w:rPr/>
      </w:pPr>
      <w:r>
        <w:rPr/>
        <w:t>Протокол № 15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06"/>
        <w:gridCol w:w="8199"/>
      </w:tblGrid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Полторжицкая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Валентиновна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1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Геннадьевич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Новгородской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Дмитриенко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Михайлович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Майорова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Анатольевна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социальной защиты и демографии Пензенской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Шайхисламов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Фанур Рафисович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семьи, труда и социальной защиты населения Республики Башкортостан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Сергея Петровича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руководителя Агентства по занятости населения Пермского края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Пивоваров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Анатольевич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Республиканского агентства занятости населения по Республике Бурятия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занятости населения Минтруда Новосибирской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Львовна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Тазетдинова </w:t>
              <w:br/>
              <w:t>Клара Алексеевна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занятости Иркутской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Викторовна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специальных программ Министерства труда и социальной политики Магаданской области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Зубарева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социальной политики Чукотского автономного округа, начальник Управления занятости населения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Керимов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Исмаил Ахметович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специальных программ департамента по вопросам занятости населения Минтруда Чеченской Республики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Новичков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Владимирович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– начальник управления труда Департамента труда и занятости населения Ханты-Мансийского автономного округа – Югры</w:t>
            </w:r>
          </w:p>
        </w:tc>
      </w:tr>
      <w:tr>
        <w:trPr/>
        <w:tc>
          <w:tcPr>
            <w:tcW w:w="20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Хваджаева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Патимат Магомедовна</w:t>
            </w:r>
          </w:p>
        </w:tc>
        <w:tc>
          <w:tcPr>
            <w:tcW w:w="81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Республики Дагестан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Амурской, Иркутской, Калужской, Магаданской, Новгородской, Новосибирской, Пензенской, Ростовской, Сахалинской, Свердловской областей, республик Башкортостан, Бурятия, Дагестан, Татарстан, Чеченской Республики, Пермского края, Ханты-Мансийского и Чукотского автономного округа, города Санкт-Петербург в привлечении иностранных работников, прибывающих в Российскую Федерацию на основании визы, на 2018 год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(Иванов, Рогачев, Бабич, Васильева, Дмитриенко, Майорова, Шайхисламов, Антонов, Хотеева, Пивоваров, Цветкова, Кулакова, Тазетдинова, Воронцова, Иванова, Зубарева, Керимов, Новичков, Хваджаева, Кулешова, Полторжицкая, Игнатенко, Низов, Седаков, Губарев, Кирсанов)</w:t>
      </w:r>
    </w:p>
    <w:p>
      <w:pPr>
        <w:pStyle w:val="TextBody"/>
        <w:rPr/>
      </w:pPr>
      <w:r>
        <w:rPr/>
        <w:t>1. Частично отклонить предложения Амурской области (от 21 августа 2017 года № 01-4-3692) о потребности в привлечении иностранных работников, прибывающих в Российскую Федерацию на основании визы, на 2018 год в количестве 1028 разрешений на работу и 1028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2. Частично отклонить предложения Иркутской области (от 31 августа 2017 года № 02-09(30)-4259/17) о потребности в привлечении иностранных работников, прибывающих в Российскую Федерацию на основании визы, на 2018 год в количестве 2059 разрешений на работу и 2059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3. Частично отклонить предложения Калужской области (от 17 августа 2017 года № 09-41/1068-17) о потребности в привлечении иностранных работников, прибывающих в Российскую Федерацию на основании визы, на 2018 год в количестве 297 разрешений на работу и 297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4. Частично отклонить предложения Магаданской области (от 29 августа 2017 года № 5113/001/009) о потребности в привлечении иностранных работников, прибывающих в Российскую Федерацию на основании визы, на 2018 год в количестве 455 разрешений на работу и 455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5. Частично отклонить предложения Новгородской области (от 17 августа 2017 года № ПО-16/3966-И) о потребности в привлечении иностранных работников, прибывающих в Российскую Федерацию на основании визы, на 2018 год в количестве 157 разрешений на работу и 157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6. Частично отклонить предложения Новосибирской области (от 16 августа 2017 года № 1930Г/1) о потребности в привлечении иностранных работников, прибывающих в Российскую Федерацию на основании визы, на 2018 год в количестве 1975 разрешений на работу и 1975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7. Частично отклонить предложения Пензенской области (от 30 августа 2017 года № 1/9/1722) о потребности в привлечении иностранных работников, прибывающих в Российскую Федерацию на основании визы, на 2018 год в количестве 80 разрешений на работу и 80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8. Частично отклонить предложения Ростовской области (от 21 августа 2017 года № 6/999) о потребности в привлечении иностранных работников, прибывающих в Российскую Федерацию на основании визы, на 2018 год в количестве 3 разрешений на работу и 3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9. Частично отклонить предложения Сахалинской области (от 16 августа 2017 года № 1.7-3085) о потребности в привлечении иностранных работников, прибывающих в Российскую Федерацию на основании визы, на 2018 год в количестве 1215 разрешений на работу и 1215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10. Частично отклонить предложения Свердловской области (от 29 августа 2017 года № 01-01-70/13377) о потребности в привлечении иностранных работников, прибывающих в Российскую Федерацию на основании визы, на 2018 год в количестве 1088 разрешений на работу и 1088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11. Частично отклонить предложения Республики Башкортостан (от 30 августа 2017 года № 1-1-749-П) о потребности в привлечении иностранных работников, прибывающих в Российскую Федерацию на основании визы, на 2018 год в количестве 400 разрешений на работу и 400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12. Частично отклонить предложения Республики Бурятия (от 17 августа 2017 года № 0108-015-И6236) о потребности в привлечении иностранных работников, прибывающих в Российскую Федерацию на основании визы, на 2018 год в количестве 60 разрешений на работу и 60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13. Одобрить в полном объеме предложения Республики Дагестан (от 1 сентября 2017 года № 11/4-12) о потребности в привлечении иностранных работников, прибывающих в Российскую Федерацию на основании визы, на 2018 год в количестве 149 разрешений на работу и 149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Частично отклонить предложения Республики Татарстан (от 18 августа 2017 года № 25-51/10543) о потребности в привлечении иностранных работников, прибывающих в Российскую Федерацию на основании визы, на 2018 год в количестве 835 разрешений на работу и 835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15. Одобрить в полном объеме предложения Чеченской Республики (от 28 августа 2017 года № 02/436) о потребности в привлечении иностранных работников, прибывающих в Российскую Федерацию на основании визы, на 2018 год в количестве 368 разрешений на работу и 368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Частично отклонить предложения Пермского края (от 18 августа 2017 года № СЭД-01-67-3630) о потребности в привлечении иностранных работников, прибывающих в Российскую Федерацию на основании визы, на 2018 год в количестве 150 разрешений на работу и 150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17. Частично отклонить предложения Ханты-Мансийского автономного округа (от 11 сентября 2017 года № 01-Исх-ГБ-19012) о потребности в привлечении иностранных работников, прибывающих в Российскую Федерацию на основании визы, на 2018 год в количестве 156 разрешений на работу и 156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18. Одобрить в полном объеме предложения Чукотского автономного округа (от 28 августа 2017 года № 03-38/3839) о потребности в привлечении иностранных работников, прибывающих в Российскую Федерацию на основании визы, на 2018 год в количестве 248 разрешений на работу и 248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19. Частично отклонить предложения города Санкт-Петербурга (от 21 августа 2017 года № 10-16-2505/17-0-1) о потребности в привлечении иностранных работников, прибывающих в Российскую Федерацию на основании визы, на 2018 год в количестве 3191 разрешения на работу и 3191 приглашения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 xml:space="preserve">председатель комиссии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