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12-2/10/В-5315 от 16 июля 2018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Минтрудом России направляются на согласование:</w:t>
      </w:r>
    </w:p>
    <w:p>
      <w:pPr>
        <w:pStyle w:val="TextBody"/>
        <w:rPr/>
      </w:pPr>
      <w:r>
        <w:rPr/>
        <w:t>уточненные расчеты потребности в средствах федерального бюджета на финансовое обеспечение выплаты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а также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на 2019-2021 годы.</w:t>
      </w:r>
    </w:p>
    <w:p>
      <w:pPr>
        <w:pStyle w:val="TextBody"/>
        <w:rPr/>
      </w:pPr>
      <w:r>
        <w:rPr/>
        <w:t>Расчеты подготовлены на основании сведений о потребности в указанных субвенциях органов исполнительной власти субъектов Российской Федерации, анализа фактических расходов в 2017 году и 1 полугодии 2018 года, а также учитывая тенденцию снижения рождаемости.</w:t>
      </w:r>
    </w:p>
    <w:p>
      <w:pPr>
        <w:pStyle w:val="TextBody"/>
        <w:rPr/>
      </w:pPr>
      <w:r>
        <w:rPr/>
        <w:t>Обращаем внимание, что в случае необходимости будут выделены дополнительные средства из предусмотренного нераспределенного резерва.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http://rosmintrud.ru/docs/mintrud/protection/1309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о согласовании исходных данных для проведения расчетов распределения указанных субвенций на 2019-2021 годы просим представить в Минтруд России до 20 июля 2018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телефон: (495) 587-88-89*12-21 Шевцова Альбина Анатольевна.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 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mintrud/protection/1309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